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CF320D" w14:textId="12CC60F0" w:rsidR="00BF5B25" w:rsidRPr="008B359A" w:rsidRDefault="002A5808" w:rsidP="000E570A">
      <w:pPr>
        <w:pStyle w:val="NoSpacing"/>
        <w:rPr>
          <w:rFonts w:ascii="Arial" w:hAnsi="Arial" w:cs="Arial"/>
          <w:b/>
          <w:sz w:val="32"/>
        </w:rPr>
      </w:pPr>
      <w:r w:rsidRPr="008B359A">
        <w:rPr>
          <w:rFonts w:ascii="Arial" w:hAnsi="Arial" w:cs="Arial"/>
          <w:b/>
          <w:sz w:val="32"/>
        </w:rPr>
        <w:t>‘Decision diaries’ – stimulating conversation about clinical reasoning during extramural studies</w:t>
      </w:r>
    </w:p>
    <w:p w14:paraId="63AC1163" w14:textId="0C27E200" w:rsidR="00D725B2" w:rsidRPr="008B359A" w:rsidRDefault="00D725B2" w:rsidP="000E570A">
      <w:pPr>
        <w:pStyle w:val="NoSpacing"/>
        <w:rPr>
          <w:rFonts w:ascii="Arial" w:hAnsi="Arial" w:cs="Arial"/>
          <w:b/>
          <w:sz w:val="32"/>
        </w:rPr>
      </w:pPr>
      <w:r w:rsidRPr="008B359A">
        <w:rPr>
          <w:rFonts w:ascii="Arial" w:hAnsi="Arial" w:cs="Arial"/>
          <w:b/>
          <w:sz w:val="32"/>
        </w:rPr>
        <w:t>Student: Anantha Kumarvel</w:t>
      </w:r>
    </w:p>
    <w:p w14:paraId="7115CC33" w14:textId="43D59E1B" w:rsidR="00D725B2" w:rsidRPr="008B359A" w:rsidRDefault="00D725B2" w:rsidP="000E570A">
      <w:pPr>
        <w:pStyle w:val="NoSpacing"/>
        <w:rPr>
          <w:rFonts w:ascii="Arial" w:hAnsi="Arial" w:cs="Arial"/>
          <w:b/>
          <w:sz w:val="32"/>
        </w:rPr>
      </w:pPr>
      <w:r w:rsidRPr="008B359A">
        <w:rPr>
          <w:rFonts w:ascii="Arial" w:hAnsi="Arial" w:cs="Arial"/>
          <w:b/>
          <w:sz w:val="32"/>
        </w:rPr>
        <w:t>Supervisor: Dr Claire Vinten</w:t>
      </w:r>
    </w:p>
    <w:p w14:paraId="45AFA543" w14:textId="77777777" w:rsidR="002A5808" w:rsidRPr="008B359A" w:rsidRDefault="002A5808" w:rsidP="000E570A">
      <w:pPr>
        <w:pStyle w:val="NoSpacing"/>
        <w:rPr>
          <w:rFonts w:ascii="Arial" w:hAnsi="Arial" w:cs="Arial"/>
          <w:b/>
        </w:rPr>
      </w:pPr>
    </w:p>
    <w:p w14:paraId="751F4CFE" w14:textId="00F3521D" w:rsidR="00D725B2" w:rsidRPr="008B359A" w:rsidRDefault="002A5808" w:rsidP="00D725B2">
      <w:pPr>
        <w:pStyle w:val="NoSpacing"/>
        <w:spacing w:before="120" w:after="100" w:afterAutospacing="1"/>
        <w:rPr>
          <w:rFonts w:ascii="Arial" w:hAnsi="Arial" w:cs="Arial"/>
          <w:b/>
          <w:iCs w:val="0"/>
          <w:sz w:val="24"/>
          <w:szCs w:val="24"/>
        </w:rPr>
      </w:pPr>
      <w:r w:rsidRPr="008B359A">
        <w:rPr>
          <w:rFonts w:ascii="Arial" w:hAnsi="Arial" w:cs="Arial"/>
          <w:b/>
          <w:iCs w:val="0"/>
          <w:sz w:val="24"/>
          <w:szCs w:val="24"/>
        </w:rPr>
        <w:t xml:space="preserve">Introduction </w:t>
      </w:r>
    </w:p>
    <w:p w14:paraId="3930CEF6" w14:textId="005F1366" w:rsidR="008B359A" w:rsidRDefault="002A5808" w:rsidP="00D725B2">
      <w:pPr>
        <w:pStyle w:val="NoSpacing"/>
        <w:spacing w:before="120" w:after="100" w:afterAutospacing="1"/>
        <w:rPr>
          <w:rFonts w:ascii="Arial" w:hAnsi="Arial" w:cs="Arial"/>
          <w:iCs w:val="0"/>
          <w:sz w:val="24"/>
          <w:szCs w:val="24"/>
        </w:rPr>
      </w:pPr>
      <w:r w:rsidRPr="008B359A">
        <w:rPr>
          <w:rFonts w:ascii="Arial" w:hAnsi="Arial" w:cs="Arial"/>
          <w:iCs w:val="0"/>
          <w:sz w:val="24"/>
          <w:szCs w:val="24"/>
        </w:rPr>
        <w:t>Clinical reasoning is a decision making process which allows clinicians to determine where to look for information, pick out relevant findings and form a differential diagnosis</w:t>
      </w:r>
      <w:r w:rsidR="008B359A">
        <w:rPr>
          <w:rFonts w:ascii="Arial" w:hAnsi="Arial" w:cs="Arial"/>
          <w:iCs w:val="0"/>
          <w:sz w:val="24"/>
          <w:szCs w:val="24"/>
        </w:rPr>
        <w:t xml:space="preserve"> (Vinten 2016)</w:t>
      </w:r>
      <w:r w:rsidRPr="008B359A">
        <w:rPr>
          <w:rFonts w:ascii="Arial" w:hAnsi="Arial" w:cs="Arial"/>
          <w:iCs w:val="0"/>
          <w:sz w:val="24"/>
          <w:szCs w:val="24"/>
        </w:rPr>
        <w:t xml:space="preserve">. The aim of this study is to determine the impact of decision diaries on </w:t>
      </w:r>
      <w:r w:rsidR="004D41DD">
        <w:rPr>
          <w:rFonts w:ascii="Arial" w:hAnsi="Arial" w:cs="Arial"/>
          <w:iCs w:val="0"/>
          <w:sz w:val="24"/>
          <w:szCs w:val="24"/>
        </w:rPr>
        <w:t xml:space="preserve">student insight into the </w:t>
      </w:r>
      <w:r w:rsidRPr="008B359A">
        <w:rPr>
          <w:rFonts w:ascii="Arial" w:hAnsi="Arial" w:cs="Arial"/>
          <w:iCs w:val="0"/>
          <w:sz w:val="24"/>
          <w:szCs w:val="24"/>
        </w:rPr>
        <w:t xml:space="preserve">clinical reasoning </w:t>
      </w:r>
      <w:r w:rsidR="004D41DD">
        <w:rPr>
          <w:rFonts w:ascii="Arial" w:hAnsi="Arial" w:cs="Arial"/>
          <w:iCs w:val="0"/>
          <w:sz w:val="24"/>
          <w:szCs w:val="24"/>
        </w:rPr>
        <w:t xml:space="preserve">of clinicians </w:t>
      </w:r>
      <w:r w:rsidRPr="008B359A">
        <w:rPr>
          <w:rFonts w:ascii="Arial" w:hAnsi="Arial" w:cs="Arial"/>
          <w:iCs w:val="0"/>
          <w:sz w:val="24"/>
          <w:szCs w:val="24"/>
        </w:rPr>
        <w:t>during Clinical Extra Mural Studies (CEMS) in comparison to a standard case study template and an unstructured notes sheet.</w:t>
      </w:r>
    </w:p>
    <w:p w14:paraId="41009441" w14:textId="208087AA" w:rsidR="00F53DCE" w:rsidRPr="008B359A" w:rsidRDefault="00090E82" w:rsidP="00D725B2">
      <w:pPr>
        <w:pStyle w:val="NoSpacing"/>
        <w:spacing w:before="120" w:after="100" w:afterAutospacing="1"/>
        <w:rPr>
          <w:rFonts w:ascii="Arial" w:hAnsi="Arial" w:cs="Arial"/>
          <w:iCs w:val="0"/>
          <w:color w:val="000000" w:themeColor="text1"/>
          <w:sz w:val="24"/>
          <w:szCs w:val="24"/>
        </w:rPr>
      </w:pPr>
      <w:r w:rsidRPr="008B359A">
        <w:rPr>
          <w:rFonts w:ascii="Arial" w:hAnsi="Arial" w:cs="Arial"/>
          <w:iCs w:val="0"/>
          <w:sz w:val="24"/>
          <w:szCs w:val="24"/>
        </w:rPr>
        <w:t xml:space="preserve">Introduced by the RCVS in 1932, extramural studies (EMS) are a significant component of the undergraduate veterinary </w:t>
      </w:r>
      <w:r w:rsidRPr="008B359A">
        <w:rPr>
          <w:rFonts w:ascii="Arial" w:hAnsi="Arial" w:cs="Arial"/>
          <w:iCs w:val="0"/>
          <w:color w:val="000000" w:themeColor="text1"/>
          <w:sz w:val="24"/>
          <w:szCs w:val="24"/>
        </w:rPr>
        <w:t xml:space="preserve">curriculum (May 2008). All British </w:t>
      </w:r>
      <w:r w:rsidRPr="008B359A">
        <w:rPr>
          <w:rFonts w:ascii="Arial" w:hAnsi="Arial" w:cs="Arial"/>
          <w:iCs w:val="0"/>
          <w:sz w:val="24"/>
          <w:szCs w:val="24"/>
        </w:rPr>
        <w:t xml:space="preserve">veterinary students are required to complete 12 weeks of animal husbandry based EMS (AHEMS) and 26 weeks of clinical practice based (CEMS) to achieve professional recognition in the UK </w:t>
      </w:r>
      <w:r w:rsidRPr="008B359A">
        <w:rPr>
          <w:rFonts w:ascii="Arial" w:hAnsi="Arial" w:cs="Arial"/>
          <w:iCs w:val="0"/>
          <w:color w:val="000000" w:themeColor="text1"/>
          <w:sz w:val="24"/>
          <w:szCs w:val="24"/>
        </w:rPr>
        <w:t xml:space="preserve">(RCVS, 2009). </w:t>
      </w:r>
      <w:r w:rsidRPr="008B359A">
        <w:rPr>
          <w:rFonts w:ascii="Arial" w:hAnsi="Arial" w:cs="Arial"/>
          <w:iCs w:val="0"/>
          <w:sz w:val="24"/>
          <w:szCs w:val="24"/>
        </w:rPr>
        <w:t xml:space="preserve">In 2014, the RCVS published the results of their survey investigating EMS during undergraduate courses </w:t>
      </w:r>
      <w:r w:rsidRPr="008B359A">
        <w:rPr>
          <w:rFonts w:ascii="Arial" w:hAnsi="Arial" w:cs="Arial"/>
          <w:iCs w:val="0"/>
          <w:color w:val="000000" w:themeColor="text1"/>
          <w:sz w:val="24"/>
          <w:szCs w:val="24"/>
        </w:rPr>
        <w:t xml:space="preserve">(RCVS 2014c). </w:t>
      </w:r>
      <w:r w:rsidRPr="008B359A">
        <w:rPr>
          <w:rFonts w:ascii="Arial" w:hAnsi="Arial" w:cs="Arial"/>
          <w:iCs w:val="0"/>
          <w:sz w:val="24"/>
          <w:szCs w:val="24"/>
        </w:rPr>
        <w:t>It was found that the greatest benefits of CEMS were the opportunity to experience medical/surgical procedures not typically seen at university; development of communication skills; and appreciation of the need for reflective clinical practice. However, c</w:t>
      </w:r>
      <w:r w:rsidR="00E86DC8" w:rsidRPr="008B359A">
        <w:rPr>
          <w:rFonts w:ascii="Arial" w:hAnsi="Arial" w:cs="Arial"/>
          <w:iCs w:val="0"/>
          <w:sz w:val="24"/>
          <w:szCs w:val="24"/>
        </w:rPr>
        <w:t xml:space="preserve">linical reasoning development, problem solving practice and case responsibility are not currently included within the RCVS EMS advisory </w:t>
      </w:r>
      <w:r w:rsidR="00E86DC8" w:rsidRPr="008B359A">
        <w:rPr>
          <w:rFonts w:ascii="Arial" w:hAnsi="Arial" w:cs="Arial"/>
          <w:iCs w:val="0"/>
          <w:color w:val="000000" w:themeColor="text1"/>
          <w:sz w:val="24"/>
          <w:szCs w:val="24"/>
        </w:rPr>
        <w:t xml:space="preserve">documentation </w:t>
      </w:r>
      <w:r w:rsidR="00E86DC8" w:rsidRPr="008B359A">
        <w:rPr>
          <w:rFonts w:ascii="Arial" w:hAnsi="Arial" w:cs="Arial"/>
          <w:iCs w:val="0"/>
          <w:color w:val="000000" w:themeColor="text1"/>
          <w:sz w:val="24"/>
          <w:szCs w:val="24"/>
        </w:rPr>
        <w:lastRenderedPageBreak/>
        <w:t xml:space="preserve">(RCVS 2009, p. 2), suggesting </w:t>
      </w:r>
      <w:r w:rsidR="00E86DC8" w:rsidRPr="008B359A">
        <w:rPr>
          <w:rFonts w:ascii="Arial" w:hAnsi="Arial" w:cs="Arial"/>
          <w:iCs w:val="0"/>
          <w:sz w:val="24"/>
          <w:szCs w:val="24"/>
        </w:rPr>
        <w:t xml:space="preserve">that they are not within the remit of CEMS. </w:t>
      </w:r>
      <w:r w:rsidR="003E6A06" w:rsidRPr="008B359A">
        <w:rPr>
          <w:rFonts w:ascii="Arial" w:hAnsi="Arial" w:cs="Arial"/>
          <w:iCs w:val="0"/>
          <w:sz w:val="24"/>
          <w:szCs w:val="24"/>
        </w:rPr>
        <w:t xml:space="preserve">The British Veterinary Association (BVA) also provides CEMS guides for both students and practitioners – neither of which reference decision-making as a skill </w:t>
      </w:r>
      <w:r w:rsidR="003E6A06" w:rsidRPr="008B359A">
        <w:rPr>
          <w:rFonts w:ascii="Arial" w:hAnsi="Arial" w:cs="Arial"/>
          <w:iCs w:val="0"/>
          <w:color w:val="000000" w:themeColor="text1"/>
          <w:sz w:val="24"/>
          <w:szCs w:val="24"/>
        </w:rPr>
        <w:t xml:space="preserve">for development (BVA 2011, 2013). </w:t>
      </w:r>
      <w:r w:rsidR="0062234C" w:rsidRPr="008B359A">
        <w:rPr>
          <w:rFonts w:ascii="Arial" w:hAnsi="Arial" w:cs="Arial"/>
          <w:iCs w:val="0"/>
          <w:color w:val="000000" w:themeColor="text1"/>
          <w:sz w:val="24"/>
          <w:szCs w:val="24"/>
        </w:rPr>
        <w:t xml:space="preserve">However, </w:t>
      </w:r>
      <w:r w:rsidR="00B57794" w:rsidRPr="008B359A">
        <w:rPr>
          <w:rFonts w:ascii="Arial" w:hAnsi="Arial" w:cs="Arial"/>
          <w:iCs w:val="0"/>
          <w:color w:val="000000" w:themeColor="text1"/>
          <w:sz w:val="24"/>
          <w:szCs w:val="24"/>
        </w:rPr>
        <w:t>more importance</w:t>
      </w:r>
      <w:r w:rsidR="0062234C" w:rsidRPr="008B359A">
        <w:rPr>
          <w:rFonts w:ascii="Arial" w:hAnsi="Arial" w:cs="Arial"/>
          <w:iCs w:val="0"/>
          <w:color w:val="000000" w:themeColor="text1"/>
          <w:sz w:val="24"/>
          <w:szCs w:val="24"/>
        </w:rPr>
        <w:t xml:space="preserve"> is being placed upon clinical reflection and it is becoming an essential component of veterinary education, particularly in relation to professional development (Mossop 2012, Mossop and Cobb 2013): a ‘Professional Development Phase’ has been introduced by the RCVS – requiring all new graduate veterinary surgeons to reflect on their development during the first year of practice (RCVS 2012).</w:t>
      </w:r>
      <w:r w:rsidR="00526221" w:rsidRPr="008B359A">
        <w:rPr>
          <w:rFonts w:ascii="Arial" w:hAnsi="Arial" w:cs="Arial"/>
          <w:iCs w:val="0"/>
          <w:color w:val="000000" w:themeColor="text1"/>
          <w:sz w:val="24"/>
          <w:szCs w:val="24"/>
        </w:rPr>
        <w:t xml:space="preserve"> </w:t>
      </w:r>
    </w:p>
    <w:p w14:paraId="751B7F48" w14:textId="01527F3B" w:rsidR="00D725B2" w:rsidRPr="008B359A" w:rsidRDefault="00F53DCE" w:rsidP="00D725B2">
      <w:pPr>
        <w:pStyle w:val="NoSpacing"/>
        <w:spacing w:before="120" w:after="100" w:afterAutospacing="1"/>
        <w:rPr>
          <w:rFonts w:ascii="Arial" w:hAnsi="Arial" w:cs="Arial"/>
          <w:iCs w:val="0"/>
          <w:sz w:val="24"/>
          <w:szCs w:val="24"/>
        </w:rPr>
      </w:pPr>
      <w:r w:rsidRPr="008B359A">
        <w:rPr>
          <w:rFonts w:ascii="Arial" w:hAnsi="Arial" w:cs="Arial"/>
          <w:iCs w:val="0"/>
          <w:color w:val="000000" w:themeColor="text1"/>
          <w:sz w:val="24"/>
          <w:szCs w:val="24"/>
        </w:rPr>
        <w:t>The literature suggests that EMS is a highly valued aspect of the veterinary curriculum, but one that</w:t>
      </w:r>
      <w:r w:rsidR="00EF11E1" w:rsidRPr="008B359A">
        <w:rPr>
          <w:rFonts w:ascii="Arial" w:hAnsi="Arial" w:cs="Arial"/>
          <w:iCs w:val="0"/>
          <w:color w:val="000000" w:themeColor="text1"/>
          <w:sz w:val="24"/>
          <w:szCs w:val="24"/>
        </w:rPr>
        <w:t xml:space="preserve"> needs some degree of standardis</w:t>
      </w:r>
      <w:r w:rsidRPr="008B359A">
        <w:rPr>
          <w:rFonts w:ascii="Arial" w:hAnsi="Arial" w:cs="Arial"/>
          <w:iCs w:val="0"/>
          <w:color w:val="000000" w:themeColor="text1"/>
          <w:sz w:val="24"/>
          <w:szCs w:val="24"/>
        </w:rPr>
        <w:t xml:space="preserve">ation and increased focus. </w:t>
      </w:r>
      <w:r w:rsidR="00B57794" w:rsidRPr="008B359A">
        <w:rPr>
          <w:rFonts w:ascii="Arial" w:hAnsi="Arial" w:cs="Arial"/>
          <w:iCs w:val="0"/>
          <w:color w:val="000000" w:themeColor="text1"/>
          <w:sz w:val="24"/>
          <w:szCs w:val="24"/>
        </w:rPr>
        <w:t xml:space="preserve">Presently, vet </w:t>
      </w:r>
      <w:r w:rsidR="00B57794" w:rsidRPr="008B359A">
        <w:rPr>
          <w:rFonts w:ascii="Arial" w:hAnsi="Arial" w:cs="Arial"/>
          <w:iCs w:val="0"/>
          <w:sz w:val="24"/>
          <w:szCs w:val="24"/>
        </w:rPr>
        <w:t xml:space="preserve">students on placement </w:t>
      </w:r>
      <w:r w:rsidR="003E6A06" w:rsidRPr="008B359A">
        <w:rPr>
          <w:rFonts w:ascii="Arial" w:hAnsi="Arial" w:cs="Arial"/>
          <w:iCs w:val="0"/>
          <w:sz w:val="24"/>
          <w:szCs w:val="24"/>
        </w:rPr>
        <w:t xml:space="preserve">have little to no guidance on how to develop clinical reasoning skills </w:t>
      </w:r>
      <w:r w:rsidR="00B57794" w:rsidRPr="008B359A">
        <w:rPr>
          <w:rFonts w:ascii="Arial" w:hAnsi="Arial" w:cs="Arial"/>
          <w:iCs w:val="0"/>
          <w:sz w:val="24"/>
          <w:szCs w:val="24"/>
        </w:rPr>
        <w:t>as there appears to be inconsistency and confusion in the r</w:t>
      </w:r>
      <w:r w:rsidR="00526221" w:rsidRPr="008B359A">
        <w:rPr>
          <w:rFonts w:ascii="Arial" w:hAnsi="Arial" w:cs="Arial"/>
          <w:iCs w:val="0"/>
          <w:sz w:val="24"/>
          <w:szCs w:val="24"/>
        </w:rPr>
        <w:t>esources available to students.</w:t>
      </w:r>
    </w:p>
    <w:p w14:paraId="4CD9AEA6" w14:textId="11A1C262" w:rsidR="00D725B2" w:rsidRPr="008B359A" w:rsidRDefault="00D91155" w:rsidP="00D725B2">
      <w:pPr>
        <w:pStyle w:val="NoSpacing"/>
        <w:spacing w:before="120" w:after="100" w:afterAutospacing="1"/>
        <w:rPr>
          <w:rFonts w:ascii="Arial" w:hAnsi="Arial" w:cs="Arial"/>
          <w:b/>
          <w:iCs w:val="0"/>
          <w:sz w:val="24"/>
          <w:szCs w:val="24"/>
        </w:rPr>
      </w:pPr>
      <w:r w:rsidRPr="008B359A">
        <w:rPr>
          <w:rFonts w:ascii="Arial" w:hAnsi="Arial" w:cs="Arial"/>
          <w:b/>
          <w:iCs w:val="0"/>
          <w:sz w:val="24"/>
          <w:szCs w:val="24"/>
        </w:rPr>
        <w:t>Methods</w:t>
      </w:r>
    </w:p>
    <w:p w14:paraId="06776753" w14:textId="77777777" w:rsidR="00381422" w:rsidRDefault="008B359A" w:rsidP="00D725B2">
      <w:pPr>
        <w:pStyle w:val="NoSpacing"/>
        <w:spacing w:before="120" w:after="100" w:afterAutospacing="1"/>
        <w:rPr>
          <w:rFonts w:ascii="Arial" w:hAnsi="Arial" w:cs="Arial"/>
          <w:iCs w:val="0"/>
          <w:sz w:val="24"/>
          <w:szCs w:val="24"/>
        </w:rPr>
      </w:pPr>
      <w:r w:rsidRPr="008B359A">
        <w:rPr>
          <w:rFonts w:ascii="Arial" w:hAnsi="Arial" w:cs="Arial"/>
          <w:iCs w:val="0"/>
          <w:sz w:val="24"/>
          <w:szCs w:val="24"/>
        </w:rPr>
        <w:t xml:space="preserve">The study builds </w:t>
      </w:r>
      <w:r>
        <w:rPr>
          <w:rFonts w:ascii="Arial" w:hAnsi="Arial" w:cs="Arial"/>
          <w:iCs w:val="0"/>
          <w:color w:val="000000" w:themeColor="text1"/>
          <w:sz w:val="24"/>
          <w:szCs w:val="24"/>
        </w:rPr>
        <w:t>on the work of Vinten (2016)</w:t>
      </w:r>
      <w:r>
        <w:rPr>
          <w:rFonts w:ascii="Arial" w:hAnsi="Arial" w:cs="Arial"/>
          <w:iCs w:val="0"/>
          <w:color w:val="000000" w:themeColor="text1"/>
          <w:sz w:val="24"/>
          <w:szCs w:val="24"/>
        </w:rPr>
        <w:t>, in which a ‘Decision Diary’ was piloted with veterinary students</w:t>
      </w:r>
      <w:r>
        <w:rPr>
          <w:rFonts w:ascii="Arial" w:hAnsi="Arial" w:cs="Arial"/>
          <w:iCs w:val="0"/>
          <w:color w:val="000000" w:themeColor="text1"/>
          <w:sz w:val="24"/>
          <w:szCs w:val="24"/>
        </w:rPr>
        <w:t>.</w:t>
      </w:r>
      <w:r>
        <w:rPr>
          <w:rFonts w:ascii="Arial" w:hAnsi="Arial" w:cs="Arial"/>
          <w:iCs w:val="0"/>
          <w:color w:val="000000" w:themeColor="text1"/>
          <w:sz w:val="24"/>
          <w:szCs w:val="24"/>
        </w:rPr>
        <w:t xml:space="preserve"> The diary was developed with the intention </w:t>
      </w:r>
      <w:r w:rsidR="00F27719">
        <w:rPr>
          <w:rFonts w:ascii="Arial" w:hAnsi="Arial" w:cs="Arial"/>
          <w:iCs w:val="0"/>
          <w:color w:val="000000" w:themeColor="text1"/>
          <w:sz w:val="24"/>
          <w:szCs w:val="24"/>
        </w:rPr>
        <w:t xml:space="preserve">of increasing student insight into </w:t>
      </w:r>
      <w:r>
        <w:rPr>
          <w:rFonts w:ascii="Arial" w:hAnsi="Arial" w:cs="Arial"/>
          <w:iCs w:val="0"/>
          <w:color w:val="000000" w:themeColor="text1"/>
          <w:sz w:val="24"/>
          <w:szCs w:val="24"/>
        </w:rPr>
        <w:t xml:space="preserve">decision-making occurring during EMS </w:t>
      </w:r>
      <w:r w:rsidR="00F27719">
        <w:rPr>
          <w:rFonts w:ascii="Arial" w:hAnsi="Arial" w:cs="Arial"/>
          <w:iCs w:val="0"/>
          <w:color w:val="000000" w:themeColor="text1"/>
          <w:sz w:val="24"/>
          <w:szCs w:val="24"/>
        </w:rPr>
        <w:t>placements</w:t>
      </w:r>
      <w:r>
        <w:rPr>
          <w:rFonts w:ascii="Arial" w:hAnsi="Arial" w:cs="Arial"/>
          <w:iCs w:val="0"/>
          <w:color w:val="000000" w:themeColor="text1"/>
          <w:sz w:val="24"/>
          <w:szCs w:val="24"/>
        </w:rPr>
        <w:t xml:space="preserve"> and consisted of a structured case study template</w:t>
      </w:r>
      <w:r w:rsidR="00F27719">
        <w:rPr>
          <w:rFonts w:ascii="Arial" w:hAnsi="Arial" w:cs="Arial"/>
          <w:iCs w:val="0"/>
          <w:color w:val="000000" w:themeColor="text1"/>
          <w:sz w:val="24"/>
          <w:szCs w:val="24"/>
        </w:rPr>
        <w:t xml:space="preserve"> focussing on the reasoning process</w:t>
      </w:r>
      <w:r>
        <w:rPr>
          <w:rFonts w:ascii="Arial" w:hAnsi="Arial" w:cs="Arial"/>
          <w:iCs w:val="0"/>
          <w:color w:val="000000" w:themeColor="text1"/>
          <w:sz w:val="24"/>
          <w:szCs w:val="24"/>
        </w:rPr>
        <w:t xml:space="preserve">. </w:t>
      </w:r>
      <w:r>
        <w:rPr>
          <w:rFonts w:ascii="Arial" w:hAnsi="Arial" w:cs="Arial"/>
          <w:iCs w:val="0"/>
          <w:color w:val="000000" w:themeColor="text1"/>
          <w:sz w:val="24"/>
          <w:szCs w:val="24"/>
        </w:rPr>
        <w:t xml:space="preserve"> </w:t>
      </w:r>
      <w:r w:rsidR="00417D89" w:rsidRPr="008B359A">
        <w:rPr>
          <w:rFonts w:ascii="Arial" w:hAnsi="Arial" w:cs="Arial"/>
          <w:iCs w:val="0"/>
          <w:sz w:val="24"/>
          <w:szCs w:val="24"/>
        </w:rPr>
        <w:t>The project received ethical approval from the RVC Social Science Ethical Review Board.</w:t>
      </w:r>
      <w:r>
        <w:rPr>
          <w:rFonts w:ascii="Arial" w:hAnsi="Arial" w:cs="Arial"/>
          <w:iCs w:val="0"/>
          <w:sz w:val="24"/>
          <w:szCs w:val="24"/>
        </w:rPr>
        <w:t xml:space="preserve"> </w:t>
      </w:r>
    </w:p>
    <w:p w14:paraId="64090DB1" w14:textId="5130336E" w:rsidR="00D06B5D" w:rsidRPr="008B359A" w:rsidRDefault="008B359A" w:rsidP="00D725B2">
      <w:pPr>
        <w:pStyle w:val="NoSpacing"/>
        <w:spacing w:before="120" w:after="100" w:afterAutospacing="1"/>
        <w:rPr>
          <w:rFonts w:ascii="Arial" w:hAnsi="Arial" w:cs="Arial"/>
          <w:iCs w:val="0"/>
          <w:color w:val="000000" w:themeColor="text1"/>
          <w:sz w:val="24"/>
          <w:szCs w:val="24"/>
        </w:rPr>
      </w:pPr>
      <w:r>
        <w:rPr>
          <w:rFonts w:ascii="Arial" w:hAnsi="Arial" w:cs="Arial"/>
          <w:iCs w:val="0"/>
          <w:sz w:val="24"/>
          <w:szCs w:val="24"/>
        </w:rPr>
        <w:t>A</w:t>
      </w:r>
      <w:r w:rsidR="00685A17" w:rsidRPr="008B359A">
        <w:rPr>
          <w:rFonts w:ascii="Arial" w:hAnsi="Arial" w:cs="Arial"/>
          <w:iCs w:val="0"/>
          <w:sz w:val="24"/>
          <w:szCs w:val="24"/>
        </w:rPr>
        <w:t xml:space="preserve">n unstructured </w:t>
      </w:r>
      <w:r w:rsidR="00685A17" w:rsidRPr="008B359A">
        <w:rPr>
          <w:rFonts w:ascii="Arial" w:hAnsi="Arial" w:cs="Arial"/>
          <w:iCs w:val="0"/>
          <w:color w:val="000000" w:themeColor="text1"/>
          <w:sz w:val="24"/>
          <w:szCs w:val="24"/>
        </w:rPr>
        <w:t xml:space="preserve">notes sheet, a case </w:t>
      </w:r>
      <w:r>
        <w:rPr>
          <w:rFonts w:ascii="Arial" w:hAnsi="Arial" w:cs="Arial"/>
          <w:iCs w:val="0"/>
          <w:color w:val="000000" w:themeColor="text1"/>
          <w:sz w:val="24"/>
          <w:szCs w:val="24"/>
        </w:rPr>
        <w:t xml:space="preserve">reporting </w:t>
      </w:r>
      <w:r w:rsidR="00685A17" w:rsidRPr="008B359A">
        <w:rPr>
          <w:rFonts w:ascii="Arial" w:hAnsi="Arial" w:cs="Arial"/>
          <w:iCs w:val="0"/>
          <w:color w:val="000000" w:themeColor="text1"/>
          <w:sz w:val="24"/>
          <w:szCs w:val="24"/>
        </w:rPr>
        <w:t>template</w:t>
      </w:r>
      <w:r>
        <w:rPr>
          <w:rFonts w:ascii="Arial" w:hAnsi="Arial" w:cs="Arial"/>
          <w:iCs w:val="0"/>
          <w:color w:val="000000" w:themeColor="text1"/>
          <w:sz w:val="24"/>
          <w:szCs w:val="24"/>
        </w:rPr>
        <w:t xml:space="preserve"> used by a prominent veterinary journal and the Decision D</w:t>
      </w:r>
      <w:r w:rsidR="00685A17" w:rsidRPr="008B359A">
        <w:rPr>
          <w:rFonts w:ascii="Arial" w:hAnsi="Arial" w:cs="Arial"/>
          <w:iCs w:val="0"/>
          <w:color w:val="000000" w:themeColor="text1"/>
          <w:sz w:val="24"/>
          <w:szCs w:val="24"/>
        </w:rPr>
        <w:t xml:space="preserve">iary were </w:t>
      </w:r>
      <w:r w:rsidR="00F919ED" w:rsidRPr="008B359A">
        <w:rPr>
          <w:rFonts w:ascii="Arial" w:hAnsi="Arial" w:cs="Arial"/>
          <w:iCs w:val="0"/>
          <w:color w:val="000000" w:themeColor="text1"/>
          <w:sz w:val="24"/>
          <w:szCs w:val="24"/>
        </w:rPr>
        <w:t>prepared</w:t>
      </w:r>
      <w:r w:rsidR="00685A17" w:rsidRPr="008B359A">
        <w:rPr>
          <w:rFonts w:ascii="Arial" w:hAnsi="Arial" w:cs="Arial"/>
          <w:iCs w:val="0"/>
          <w:color w:val="000000" w:themeColor="text1"/>
          <w:sz w:val="24"/>
          <w:szCs w:val="24"/>
        </w:rPr>
        <w:t xml:space="preserve">. Veterinary students at the Royal Veterinary College were recruited to take part </w:t>
      </w:r>
      <w:r w:rsidR="00471A1B">
        <w:rPr>
          <w:rFonts w:ascii="Arial" w:hAnsi="Arial" w:cs="Arial"/>
          <w:iCs w:val="0"/>
          <w:color w:val="000000" w:themeColor="text1"/>
          <w:sz w:val="24"/>
          <w:szCs w:val="24"/>
        </w:rPr>
        <w:t xml:space="preserve">in the study </w:t>
      </w:r>
      <w:r w:rsidR="00F919ED" w:rsidRPr="008B359A">
        <w:rPr>
          <w:rFonts w:ascii="Arial" w:hAnsi="Arial" w:cs="Arial"/>
          <w:iCs w:val="0"/>
          <w:sz w:val="24"/>
          <w:szCs w:val="24"/>
        </w:rPr>
        <w:t>and c</w:t>
      </w:r>
      <w:r w:rsidR="00685A17" w:rsidRPr="008B359A">
        <w:rPr>
          <w:rFonts w:ascii="Arial" w:hAnsi="Arial" w:cs="Arial"/>
          <w:iCs w:val="0"/>
          <w:sz w:val="24"/>
          <w:szCs w:val="24"/>
        </w:rPr>
        <w:t>onvenience sampling was used to select a minimum of 20 participants</w:t>
      </w:r>
      <w:r w:rsidR="00F919ED" w:rsidRPr="008B359A">
        <w:rPr>
          <w:rFonts w:ascii="Arial" w:hAnsi="Arial" w:cs="Arial"/>
          <w:iCs w:val="0"/>
          <w:sz w:val="24"/>
          <w:szCs w:val="24"/>
        </w:rPr>
        <w:t>.</w:t>
      </w:r>
      <w:r w:rsidR="00685A17" w:rsidRPr="008B359A">
        <w:rPr>
          <w:rFonts w:ascii="Arial" w:hAnsi="Arial" w:cs="Arial"/>
          <w:iCs w:val="0"/>
          <w:sz w:val="24"/>
          <w:szCs w:val="24"/>
        </w:rPr>
        <w:t xml:space="preserve"> </w:t>
      </w:r>
      <w:r w:rsidR="00381422">
        <w:rPr>
          <w:rFonts w:ascii="Arial" w:hAnsi="Arial" w:cs="Arial"/>
          <w:iCs w:val="0"/>
          <w:sz w:val="24"/>
          <w:szCs w:val="24"/>
        </w:rPr>
        <w:t xml:space="preserve">These students were all given a £10 amazon voucher for fully completing the study. </w:t>
      </w:r>
      <w:r w:rsidR="00F919ED" w:rsidRPr="008B359A">
        <w:rPr>
          <w:rFonts w:ascii="Arial" w:hAnsi="Arial" w:cs="Arial"/>
          <w:iCs w:val="0"/>
          <w:sz w:val="24"/>
          <w:szCs w:val="24"/>
        </w:rPr>
        <w:t>T</w:t>
      </w:r>
      <w:r w:rsidR="00685A17" w:rsidRPr="008B359A">
        <w:rPr>
          <w:rFonts w:ascii="Arial" w:hAnsi="Arial" w:cs="Arial"/>
          <w:iCs w:val="0"/>
          <w:sz w:val="24"/>
          <w:szCs w:val="24"/>
        </w:rPr>
        <w:t>he criteria for selection included: student must be within years thr</w:t>
      </w:r>
      <w:r w:rsidR="00F919ED" w:rsidRPr="008B359A">
        <w:rPr>
          <w:rFonts w:ascii="Arial" w:hAnsi="Arial" w:cs="Arial"/>
          <w:iCs w:val="0"/>
          <w:sz w:val="24"/>
          <w:szCs w:val="24"/>
        </w:rPr>
        <w:t xml:space="preserve">ee, four or five of the course and they </w:t>
      </w:r>
      <w:r w:rsidR="00685A17" w:rsidRPr="008B359A">
        <w:rPr>
          <w:rFonts w:ascii="Arial" w:hAnsi="Arial" w:cs="Arial"/>
          <w:iCs w:val="0"/>
          <w:sz w:val="24"/>
          <w:szCs w:val="24"/>
        </w:rPr>
        <w:t xml:space="preserve">must </w:t>
      </w:r>
      <w:r w:rsidR="00471A1B">
        <w:rPr>
          <w:rFonts w:ascii="Arial" w:hAnsi="Arial" w:cs="Arial"/>
          <w:iCs w:val="0"/>
          <w:sz w:val="24"/>
          <w:szCs w:val="24"/>
        </w:rPr>
        <w:t xml:space="preserve">be planning to </w:t>
      </w:r>
      <w:r w:rsidR="00685A17" w:rsidRPr="008B359A">
        <w:rPr>
          <w:rFonts w:ascii="Arial" w:hAnsi="Arial" w:cs="Arial"/>
          <w:iCs w:val="0"/>
          <w:sz w:val="24"/>
          <w:szCs w:val="24"/>
        </w:rPr>
        <w:t>complete at least two weeks of CEMS at a first opinion veterinary practice.</w:t>
      </w:r>
      <w:r w:rsidR="00F27719">
        <w:rPr>
          <w:rFonts w:ascii="Arial" w:hAnsi="Arial" w:cs="Arial"/>
          <w:iCs w:val="0"/>
          <w:sz w:val="24"/>
          <w:szCs w:val="24"/>
        </w:rPr>
        <w:t xml:space="preserve"> </w:t>
      </w:r>
      <w:r w:rsidR="00F27719" w:rsidRPr="008B359A">
        <w:rPr>
          <w:rFonts w:ascii="Arial" w:hAnsi="Arial" w:cs="Arial"/>
          <w:iCs w:val="0"/>
          <w:color w:val="000000" w:themeColor="text1"/>
          <w:sz w:val="24"/>
          <w:szCs w:val="24"/>
        </w:rPr>
        <w:t xml:space="preserve">To avoid bias, it was important to ensure the placement did not involve working with veterinary surgeons with formal teaching experience or qualifications. </w:t>
      </w:r>
      <w:r w:rsidR="004D41DD" w:rsidRPr="008B359A">
        <w:rPr>
          <w:rFonts w:ascii="Arial" w:hAnsi="Arial" w:cs="Arial"/>
          <w:iCs w:val="0"/>
          <w:sz w:val="24"/>
          <w:szCs w:val="24"/>
        </w:rPr>
        <w:t xml:space="preserve">Participants were instructed to make notes on six clinical cases that they encountered during their placement. For the first two cases, students were asked to take notes on </w:t>
      </w:r>
      <w:r w:rsidR="004D41DD">
        <w:rPr>
          <w:rFonts w:ascii="Arial" w:hAnsi="Arial" w:cs="Arial"/>
          <w:iCs w:val="0"/>
          <w:sz w:val="24"/>
          <w:szCs w:val="24"/>
        </w:rPr>
        <w:t>the</w:t>
      </w:r>
      <w:r w:rsidR="004D41DD" w:rsidRPr="008B359A">
        <w:rPr>
          <w:rFonts w:ascii="Arial" w:hAnsi="Arial" w:cs="Arial"/>
          <w:iCs w:val="0"/>
          <w:sz w:val="24"/>
          <w:szCs w:val="24"/>
        </w:rPr>
        <w:t xml:space="preserve"> unstructured notes sheet. </w:t>
      </w:r>
      <w:r w:rsidR="004D41DD" w:rsidRPr="008B359A">
        <w:rPr>
          <w:rFonts w:ascii="Arial" w:hAnsi="Arial" w:cs="Arial"/>
          <w:iCs w:val="0"/>
          <w:color w:val="000000" w:themeColor="text1"/>
          <w:sz w:val="24"/>
          <w:szCs w:val="24"/>
        </w:rPr>
        <w:t>For cases three and four, students were asked to use a standard case study template to make notes. Finally, for cases five and six, part</w:t>
      </w:r>
      <w:r w:rsidR="004D41DD">
        <w:rPr>
          <w:rFonts w:ascii="Arial" w:hAnsi="Arial" w:cs="Arial"/>
          <w:iCs w:val="0"/>
          <w:color w:val="000000" w:themeColor="text1"/>
          <w:sz w:val="24"/>
          <w:szCs w:val="24"/>
        </w:rPr>
        <w:t>icipants were asked to use the Decision D</w:t>
      </w:r>
      <w:r w:rsidR="004D41DD" w:rsidRPr="008B359A">
        <w:rPr>
          <w:rFonts w:ascii="Arial" w:hAnsi="Arial" w:cs="Arial"/>
          <w:iCs w:val="0"/>
          <w:color w:val="000000" w:themeColor="text1"/>
          <w:sz w:val="24"/>
          <w:szCs w:val="24"/>
        </w:rPr>
        <w:t xml:space="preserve">iary to make notes. </w:t>
      </w:r>
      <w:r w:rsidR="004D41DD">
        <w:rPr>
          <w:rFonts w:ascii="Arial" w:hAnsi="Arial" w:cs="Arial"/>
          <w:iCs w:val="0"/>
          <w:color w:val="000000" w:themeColor="text1"/>
          <w:sz w:val="24"/>
          <w:szCs w:val="24"/>
        </w:rPr>
        <w:t>The forms only became available to the students in that order, once the previous form had been completed.</w:t>
      </w:r>
      <w:r w:rsidR="004D41DD">
        <w:rPr>
          <w:rFonts w:ascii="Arial" w:hAnsi="Arial" w:cs="Arial"/>
          <w:iCs w:val="0"/>
          <w:color w:val="000000" w:themeColor="text1"/>
          <w:sz w:val="24"/>
          <w:szCs w:val="24"/>
        </w:rPr>
        <w:t xml:space="preserve"> </w:t>
      </w:r>
      <w:r w:rsidR="00F27719" w:rsidRPr="008B359A">
        <w:rPr>
          <w:rFonts w:ascii="Arial" w:hAnsi="Arial" w:cs="Arial"/>
          <w:iCs w:val="0"/>
          <w:color w:val="000000" w:themeColor="text1"/>
          <w:sz w:val="24"/>
          <w:szCs w:val="24"/>
        </w:rPr>
        <w:t xml:space="preserve">The students filled out the forms in </w:t>
      </w:r>
      <w:r w:rsidR="004D41DD">
        <w:rPr>
          <w:rFonts w:ascii="Arial" w:hAnsi="Arial" w:cs="Arial"/>
          <w:iCs w:val="0"/>
          <w:color w:val="000000" w:themeColor="text1"/>
          <w:sz w:val="24"/>
          <w:szCs w:val="24"/>
        </w:rPr>
        <w:t xml:space="preserve">this </w:t>
      </w:r>
      <w:r w:rsidR="00F27719" w:rsidRPr="008B359A">
        <w:rPr>
          <w:rFonts w:ascii="Arial" w:hAnsi="Arial" w:cs="Arial"/>
          <w:iCs w:val="0"/>
          <w:color w:val="000000" w:themeColor="text1"/>
          <w:sz w:val="24"/>
          <w:szCs w:val="24"/>
        </w:rPr>
        <w:t xml:space="preserve">order of least to most structured, to prevent content of the more structured resources from sub-consciously influencing the less structured sheets. </w:t>
      </w:r>
      <w:r w:rsidR="00685A17" w:rsidRPr="008B359A">
        <w:rPr>
          <w:rFonts w:ascii="Arial" w:hAnsi="Arial" w:cs="Arial"/>
          <w:iCs w:val="0"/>
          <w:color w:val="000000" w:themeColor="text1"/>
          <w:sz w:val="24"/>
          <w:szCs w:val="24"/>
        </w:rPr>
        <w:t xml:space="preserve">The content of each </w:t>
      </w:r>
      <w:r w:rsidR="00E622FF" w:rsidRPr="008B359A">
        <w:rPr>
          <w:rFonts w:ascii="Arial" w:hAnsi="Arial" w:cs="Arial"/>
          <w:iCs w:val="0"/>
          <w:color w:val="000000" w:themeColor="text1"/>
          <w:sz w:val="24"/>
          <w:szCs w:val="24"/>
        </w:rPr>
        <w:t>form</w:t>
      </w:r>
      <w:r w:rsidR="00685A17" w:rsidRPr="008B359A">
        <w:rPr>
          <w:rFonts w:ascii="Arial" w:hAnsi="Arial" w:cs="Arial"/>
          <w:iCs w:val="0"/>
          <w:color w:val="000000" w:themeColor="text1"/>
          <w:sz w:val="24"/>
          <w:szCs w:val="24"/>
        </w:rPr>
        <w:t xml:space="preserve"> was analysed</w:t>
      </w:r>
      <w:r w:rsidR="00D06B5D" w:rsidRPr="008B359A">
        <w:rPr>
          <w:rFonts w:ascii="Arial" w:hAnsi="Arial" w:cs="Arial"/>
          <w:iCs w:val="0"/>
          <w:color w:val="000000" w:themeColor="text1"/>
          <w:sz w:val="24"/>
          <w:szCs w:val="24"/>
        </w:rPr>
        <w:t xml:space="preserve"> using selective deduc</w:t>
      </w:r>
      <w:r w:rsidR="00D06B5D" w:rsidRPr="008B359A">
        <w:rPr>
          <w:rFonts w:ascii="Arial" w:hAnsi="Arial" w:cs="Arial"/>
          <w:iCs w:val="0"/>
          <w:color w:val="000000" w:themeColor="text1"/>
          <w:sz w:val="24"/>
          <w:szCs w:val="24"/>
        </w:rPr>
        <w:lastRenderedPageBreak/>
        <w:t>tive coding for evidence of observation and reflection (Table 1)</w:t>
      </w:r>
      <w:r w:rsidR="00471A1B">
        <w:rPr>
          <w:rFonts w:ascii="Arial" w:hAnsi="Arial" w:cs="Arial"/>
          <w:iCs w:val="0"/>
          <w:color w:val="000000" w:themeColor="text1"/>
          <w:sz w:val="24"/>
          <w:szCs w:val="24"/>
        </w:rPr>
        <w:t xml:space="preserve"> (Vinten, 2016)</w:t>
      </w:r>
      <w:r w:rsidR="00B82A3F" w:rsidRPr="008B359A">
        <w:rPr>
          <w:rFonts w:ascii="Arial" w:hAnsi="Arial" w:cs="Arial"/>
          <w:iCs w:val="0"/>
          <w:color w:val="000000" w:themeColor="text1"/>
          <w:sz w:val="24"/>
          <w:szCs w:val="24"/>
        </w:rPr>
        <w:t xml:space="preserve">. </w:t>
      </w:r>
      <w:r w:rsidR="004D41DD" w:rsidRPr="008B359A">
        <w:rPr>
          <w:rFonts w:ascii="Arial" w:hAnsi="Arial" w:cs="Arial"/>
          <w:iCs w:val="0"/>
          <w:color w:val="000000" w:themeColor="text1"/>
          <w:sz w:val="24"/>
          <w:szCs w:val="24"/>
        </w:rPr>
        <w:t xml:space="preserve">The unit of analysis was set as one comment – not necessarily a whole sentence or question answer, as the students often did not write in sentences or made </w:t>
      </w:r>
      <w:r w:rsidR="004D41DD">
        <w:rPr>
          <w:rFonts w:ascii="Arial" w:hAnsi="Arial" w:cs="Arial"/>
          <w:iCs w:val="0"/>
          <w:color w:val="000000" w:themeColor="text1"/>
          <w:sz w:val="24"/>
          <w:szCs w:val="24"/>
        </w:rPr>
        <w:t xml:space="preserve">multiple points in one answer. </w:t>
      </w:r>
      <w:r w:rsidR="00B82A3F" w:rsidRPr="008B359A">
        <w:rPr>
          <w:rFonts w:ascii="Arial" w:hAnsi="Arial" w:cs="Arial"/>
          <w:iCs w:val="0"/>
          <w:color w:val="000000" w:themeColor="text1"/>
          <w:sz w:val="24"/>
          <w:szCs w:val="24"/>
        </w:rPr>
        <w:t xml:space="preserve">The returned forms were </w:t>
      </w:r>
      <w:r w:rsidR="00553C0A" w:rsidRPr="008B359A">
        <w:rPr>
          <w:rFonts w:ascii="Arial" w:hAnsi="Arial" w:cs="Arial"/>
          <w:iCs w:val="0"/>
          <w:color w:val="000000" w:themeColor="text1"/>
          <w:sz w:val="24"/>
          <w:szCs w:val="24"/>
        </w:rPr>
        <w:t>categorised into: gender of author</w:t>
      </w:r>
      <w:r w:rsidR="00D06B5D" w:rsidRPr="008B359A">
        <w:rPr>
          <w:rFonts w:ascii="Arial" w:hAnsi="Arial" w:cs="Arial"/>
          <w:iCs w:val="0"/>
          <w:color w:val="000000" w:themeColor="text1"/>
          <w:sz w:val="24"/>
          <w:szCs w:val="24"/>
        </w:rPr>
        <w:t xml:space="preserve"> (male/ </w:t>
      </w:r>
      <w:r w:rsidR="00553C0A" w:rsidRPr="008B359A">
        <w:rPr>
          <w:rFonts w:ascii="Arial" w:hAnsi="Arial" w:cs="Arial"/>
          <w:iCs w:val="0"/>
          <w:color w:val="000000" w:themeColor="text1"/>
          <w:sz w:val="24"/>
          <w:szCs w:val="24"/>
        </w:rPr>
        <w:t>female), Year group</w:t>
      </w:r>
      <w:r w:rsidR="00D06B5D" w:rsidRPr="008B359A">
        <w:rPr>
          <w:rFonts w:ascii="Arial" w:hAnsi="Arial" w:cs="Arial"/>
          <w:iCs w:val="0"/>
          <w:color w:val="000000" w:themeColor="text1"/>
          <w:sz w:val="24"/>
          <w:szCs w:val="24"/>
        </w:rPr>
        <w:t xml:space="preserve"> (third/fourth/</w:t>
      </w:r>
      <w:r w:rsidR="00553C0A" w:rsidRPr="008B359A">
        <w:rPr>
          <w:rFonts w:ascii="Arial" w:hAnsi="Arial" w:cs="Arial"/>
          <w:iCs w:val="0"/>
          <w:color w:val="000000" w:themeColor="text1"/>
          <w:sz w:val="24"/>
          <w:szCs w:val="24"/>
        </w:rPr>
        <w:t xml:space="preserve">fifth), species </w:t>
      </w:r>
      <w:r w:rsidR="00D06B5D" w:rsidRPr="008B359A">
        <w:rPr>
          <w:rFonts w:ascii="Arial" w:hAnsi="Arial" w:cs="Arial"/>
          <w:iCs w:val="0"/>
          <w:color w:val="000000" w:themeColor="text1"/>
          <w:sz w:val="24"/>
          <w:szCs w:val="24"/>
        </w:rPr>
        <w:t>(small animal/farm animal/</w:t>
      </w:r>
      <w:r w:rsidR="00553C0A" w:rsidRPr="008B359A">
        <w:rPr>
          <w:rFonts w:ascii="Arial" w:hAnsi="Arial" w:cs="Arial"/>
          <w:iCs w:val="0"/>
          <w:color w:val="000000" w:themeColor="text1"/>
          <w:sz w:val="24"/>
          <w:szCs w:val="24"/>
        </w:rPr>
        <w:t>equine) and case type</w:t>
      </w:r>
      <w:r w:rsidR="00D06B5D" w:rsidRPr="008B359A">
        <w:rPr>
          <w:rFonts w:ascii="Arial" w:hAnsi="Arial" w:cs="Arial"/>
          <w:iCs w:val="0"/>
          <w:color w:val="000000" w:themeColor="text1"/>
          <w:sz w:val="24"/>
          <w:szCs w:val="24"/>
        </w:rPr>
        <w:t xml:space="preserve"> (routine/emergency/medical/</w:t>
      </w:r>
      <w:r w:rsidR="00553C0A" w:rsidRPr="008B359A">
        <w:rPr>
          <w:rFonts w:ascii="Arial" w:hAnsi="Arial" w:cs="Arial"/>
          <w:iCs w:val="0"/>
          <w:color w:val="000000" w:themeColor="text1"/>
          <w:sz w:val="24"/>
          <w:szCs w:val="24"/>
        </w:rPr>
        <w:t>surgical)</w:t>
      </w:r>
      <w:r w:rsidR="00B82A3F" w:rsidRPr="008B359A">
        <w:rPr>
          <w:rFonts w:ascii="Arial" w:hAnsi="Arial" w:cs="Arial"/>
          <w:iCs w:val="0"/>
          <w:color w:val="000000" w:themeColor="text1"/>
          <w:sz w:val="24"/>
          <w:szCs w:val="24"/>
        </w:rPr>
        <w:t>.</w:t>
      </w:r>
      <w:r w:rsidR="00553C0A" w:rsidRPr="008B359A">
        <w:rPr>
          <w:rFonts w:ascii="Arial" w:hAnsi="Arial" w:cs="Arial"/>
          <w:iCs w:val="0"/>
          <w:color w:val="000000" w:themeColor="text1"/>
          <w:sz w:val="24"/>
          <w:szCs w:val="24"/>
        </w:rPr>
        <w:t xml:space="preserve"> </w:t>
      </w:r>
      <w:r w:rsidR="00D06B5D" w:rsidRPr="008B359A">
        <w:rPr>
          <w:rFonts w:ascii="Arial" w:hAnsi="Arial" w:cs="Arial"/>
          <w:iCs w:val="0"/>
          <w:color w:val="000000" w:themeColor="text1"/>
          <w:sz w:val="24"/>
          <w:szCs w:val="24"/>
        </w:rPr>
        <w:t xml:space="preserve"> The forms were blinded from the participants and the data analyst to ensure no bias in totalling observation and reflection frequencies. </w:t>
      </w:r>
    </w:p>
    <w:tbl>
      <w:tblPr>
        <w:tblStyle w:val="GridTable2-Accent3"/>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003"/>
        <w:gridCol w:w="3003"/>
        <w:gridCol w:w="3004"/>
      </w:tblGrid>
      <w:tr w:rsidR="009551C5" w:rsidRPr="008B359A" w14:paraId="44A4F4AF" w14:textId="77777777" w:rsidTr="00214786">
        <w:trPr>
          <w:cnfStyle w:val="100000000000" w:firstRow="1" w:lastRow="0" w:firstColumn="0" w:lastColumn="0" w:oddVBand="0" w:evenVBand="0" w:oddHBand="0"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3003" w:type="dxa"/>
            <w:tcBorders>
              <w:top w:val="none" w:sz="0" w:space="0" w:color="auto"/>
              <w:bottom w:val="none" w:sz="0" w:space="0" w:color="auto"/>
              <w:right w:val="none" w:sz="0" w:space="0" w:color="auto"/>
            </w:tcBorders>
          </w:tcPr>
          <w:p w14:paraId="411FC803" w14:textId="77777777" w:rsidR="009551C5" w:rsidRPr="008B359A" w:rsidRDefault="009551C5" w:rsidP="00D725B2">
            <w:pPr>
              <w:spacing w:before="120" w:after="100" w:afterAutospacing="1" w:line="240" w:lineRule="auto"/>
              <w:rPr>
                <w:rFonts w:ascii="Arial" w:hAnsi="Arial" w:cs="Arial"/>
                <w:b w:val="0"/>
                <w:bCs w:val="0"/>
                <w:iCs w:val="0"/>
                <w:sz w:val="24"/>
                <w:szCs w:val="24"/>
              </w:rPr>
            </w:pPr>
            <w:r w:rsidRPr="008B359A">
              <w:rPr>
                <w:rFonts w:ascii="Arial" w:hAnsi="Arial" w:cs="Arial"/>
                <w:b w:val="0"/>
                <w:bCs w:val="0"/>
                <w:iCs w:val="0"/>
                <w:sz w:val="24"/>
                <w:szCs w:val="24"/>
              </w:rPr>
              <w:t>Code</w:t>
            </w:r>
          </w:p>
        </w:tc>
        <w:tc>
          <w:tcPr>
            <w:tcW w:w="3003" w:type="dxa"/>
            <w:tcBorders>
              <w:top w:val="none" w:sz="0" w:space="0" w:color="auto"/>
              <w:left w:val="none" w:sz="0" w:space="0" w:color="auto"/>
              <w:bottom w:val="none" w:sz="0" w:space="0" w:color="auto"/>
              <w:right w:val="none" w:sz="0" w:space="0" w:color="auto"/>
            </w:tcBorders>
          </w:tcPr>
          <w:p w14:paraId="7B49020A" w14:textId="77777777" w:rsidR="009551C5" w:rsidRPr="008B359A" w:rsidRDefault="009551C5" w:rsidP="00D725B2">
            <w:pPr>
              <w:spacing w:before="120" w:after="100" w:afterAutospacing="1" w:line="240" w:lineRule="auto"/>
              <w:cnfStyle w:val="100000000000" w:firstRow="1" w:lastRow="0" w:firstColumn="0" w:lastColumn="0" w:oddVBand="0" w:evenVBand="0" w:oddHBand="0" w:evenHBand="0" w:firstRowFirstColumn="0" w:firstRowLastColumn="0" w:lastRowFirstColumn="0" w:lastRowLastColumn="0"/>
              <w:rPr>
                <w:rFonts w:ascii="Arial" w:hAnsi="Arial" w:cs="Arial"/>
                <w:b w:val="0"/>
                <w:bCs w:val="0"/>
                <w:iCs w:val="0"/>
                <w:sz w:val="24"/>
                <w:szCs w:val="24"/>
              </w:rPr>
            </w:pPr>
            <w:r w:rsidRPr="008B359A">
              <w:rPr>
                <w:rFonts w:ascii="Arial" w:hAnsi="Arial" w:cs="Arial"/>
                <w:b w:val="0"/>
                <w:bCs w:val="0"/>
                <w:iCs w:val="0"/>
                <w:sz w:val="24"/>
                <w:szCs w:val="24"/>
              </w:rPr>
              <w:t>Inclusion criteria</w:t>
            </w:r>
          </w:p>
        </w:tc>
        <w:tc>
          <w:tcPr>
            <w:tcW w:w="3004" w:type="dxa"/>
            <w:tcBorders>
              <w:top w:val="none" w:sz="0" w:space="0" w:color="auto"/>
              <w:left w:val="none" w:sz="0" w:space="0" w:color="auto"/>
              <w:bottom w:val="none" w:sz="0" w:space="0" w:color="auto"/>
            </w:tcBorders>
          </w:tcPr>
          <w:p w14:paraId="3AE02980" w14:textId="77777777" w:rsidR="009551C5" w:rsidRPr="008B359A" w:rsidRDefault="009551C5" w:rsidP="00D725B2">
            <w:pPr>
              <w:spacing w:before="120" w:after="100" w:afterAutospacing="1" w:line="240" w:lineRule="auto"/>
              <w:cnfStyle w:val="100000000000" w:firstRow="1" w:lastRow="0" w:firstColumn="0" w:lastColumn="0" w:oddVBand="0" w:evenVBand="0" w:oddHBand="0" w:evenHBand="0" w:firstRowFirstColumn="0" w:firstRowLastColumn="0" w:lastRowFirstColumn="0" w:lastRowLastColumn="0"/>
              <w:rPr>
                <w:rFonts w:ascii="Arial" w:hAnsi="Arial" w:cs="Arial"/>
                <w:b w:val="0"/>
                <w:bCs w:val="0"/>
                <w:iCs w:val="0"/>
                <w:sz w:val="24"/>
                <w:szCs w:val="24"/>
              </w:rPr>
            </w:pPr>
            <w:r w:rsidRPr="008B359A">
              <w:rPr>
                <w:rFonts w:ascii="Arial" w:hAnsi="Arial" w:cs="Arial"/>
                <w:b w:val="0"/>
                <w:bCs w:val="0"/>
                <w:iCs w:val="0"/>
                <w:sz w:val="24"/>
                <w:szCs w:val="24"/>
              </w:rPr>
              <w:t xml:space="preserve">Exclusion criteria </w:t>
            </w:r>
          </w:p>
        </w:tc>
      </w:tr>
      <w:tr w:rsidR="009551C5" w:rsidRPr="008B359A" w14:paraId="0E6A860A" w14:textId="77777777" w:rsidTr="002147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3" w:type="dxa"/>
          </w:tcPr>
          <w:p w14:paraId="074BA79B" w14:textId="77777777" w:rsidR="009551C5" w:rsidRPr="008B359A" w:rsidRDefault="009551C5" w:rsidP="00D725B2">
            <w:pPr>
              <w:spacing w:before="120" w:after="100" w:afterAutospacing="1" w:line="240" w:lineRule="auto"/>
              <w:rPr>
                <w:rFonts w:ascii="Arial" w:hAnsi="Arial" w:cs="Arial"/>
                <w:b w:val="0"/>
                <w:bCs w:val="0"/>
                <w:iCs w:val="0"/>
                <w:sz w:val="24"/>
                <w:szCs w:val="24"/>
              </w:rPr>
            </w:pPr>
            <w:r w:rsidRPr="008B359A">
              <w:rPr>
                <w:rFonts w:ascii="Arial" w:hAnsi="Arial" w:cs="Arial"/>
                <w:b w:val="0"/>
                <w:bCs w:val="0"/>
                <w:iCs w:val="0"/>
                <w:sz w:val="24"/>
                <w:szCs w:val="24"/>
              </w:rPr>
              <w:t>Observation</w:t>
            </w:r>
          </w:p>
        </w:tc>
        <w:tc>
          <w:tcPr>
            <w:tcW w:w="3003" w:type="dxa"/>
          </w:tcPr>
          <w:p w14:paraId="7C69AA77" w14:textId="4BFAA934" w:rsidR="009551C5" w:rsidRPr="008B359A" w:rsidRDefault="009551C5" w:rsidP="00D725B2">
            <w:pPr>
              <w:spacing w:before="120" w:after="100" w:afterAutospacing="1" w:line="240" w:lineRule="auto"/>
              <w:cnfStyle w:val="000000100000" w:firstRow="0" w:lastRow="0" w:firstColumn="0" w:lastColumn="0" w:oddVBand="0" w:evenVBand="0" w:oddHBand="1" w:evenHBand="0" w:firstRowFirstColumn="0" w:firstRowLastColumn="0" w:lastRowFirstColumn="0" w:lastRowLastColumn="0"/>
              <w:rPr>
                <w:rFonts w:ascii="Arial" w:hAnsi="Arial" w:cs="Arial"/>
                <w:iCs w:val="0"/>
                <w:sz w:val="24"/>
                <w:szCs w:val="24"/>
              </w:rPr>
            </w:pPr>
            <w:r w:rsidRPr="008B359A">
              <w:rPr>
                <w:rFonts w:ascii="Arial" w:hAnsi="Arial" w:cs="Arial"/>
                <w:iCs w:val="0"/>
                <w:sz w:val="24"/>
                <w:szCs w:val="24"/>
              </w:rPr>
              <w:t xml:space="preserve">Description of a clinical interpretation or decision made by a veterinary surgeon </w:t>
            </w:r>
            <w:r w:rsidR="00214786" w:rsidRPr="00F27719">
              <w:rPr>
                <w:rFonts w:ascii="Arial" w:hAnsi="Arial" w:cs="Arial"/>
                <w:b/>
                <w:iCs w:val="0"/>
                <w:sz w:val="24"/>
                <w:szCs w:val="24"/>
              </w:rPr>
              <w:t>and</w:t>
            </w:r>
            <w:r w:rsidRPr="00F27719">
              <w:rPr>
                <w:rFonts w:ascii="Arial" w:hAnsi="Arial" w:cs="Arial"/>
                <w:b/>
                <w:iCs w:val="0"/>
                <w:sz w:val="24"/>
                <w:szCs w:val="24"/>
              </w:rPr>
              <w:t xml:space="preserve"> the reasoning behind it</w:t>
            </w:r>
          </w:p>
        </w:tc>
        <w:tc>
          <w:tcPr>
            <w:tcW w:w="3004" w:type="dxa"/>
          </w:tcPr>
          <w:p w14:paraId="7CBD8A2B" w14:textId="4C531570" w:rsidR="009551C5" w:rsidRPr="008B359A" w:rsidRDefault="009551C5" w:rsidP="00D725B2">
            <w:pPr>
              <w:spacing w:before="120" w:after="100" w:afterAutospacing="1" w:line="240" w:lineRule="auto"/>
              <w:cnfStyle w:val="000000100000" w:firstRow="0" w:lastRow="0" w:firstColumn="0" w:lastColumn="0" w:oddVBand="0" w:evenVBand="0" w:oddHBand="1" w:evenHBand="0" w:firstRowFirstColumn="0" w:firstRowLastColumn="0" w:lastRowFirstColumn="0" w:lastRowLastColumn="0"/>
              <w:rPr>
                <w:rFonts w:ascii="Arial" w:hAnsi="Arial" w:cs="Arial"/>
                <w:iCs w:val="0"/>
                <w:sz w:val="24"/>
                <w:szCs w:val="24"/>
              </w:rPr>
            </w:pPr>
            <w:r w:rsidRPr="008B359A">
              <w:rPr>
                <w:rFonts w:ascii="Arial" w:hAnsi="Arial" w:cs="Arial"/>
                <w:iCs w:val="0"/>
                <w:sz w:val="24"/>
                <w:szCs w:val="24"/>
              </w:rPr>
              <w:t xml:space="preserve">Description of a clinical interpretation or decision </w:t>
            </w:r>
            <w:r w:rsidR="00214786" w:rsidRPr="008B359A">
              <w:rPr>
                <w:rFonts w:ascii="Arial" w:hAnsi="Arial" w:cs="Arial"/>
                <w:iCs w:val="0"/>
                <w:sz w:val="24"/>
                <w:szCs w:val="24"/>
              </w:rPr>
              <w:t xml:space="preserve">without </w:t>
            </w:r>
            <w:r w:rsidRPr="008B359A">
              <w:rPr>
                <w:rFonts w:ascii="Arial" w:hAnsi="Arial" w:cs="Arial"/>
                <w:iCs w:val="0"/>
                <w:sz w:val="24"/>
                <w:szCs w:val="24"/>
              </w:rPr>
              <w:t>accompanying reasoning</w:t>
            </w:r>
          </w:p>
        </w:tc>
      </w:tr>
      <w:tr w:rsidR="009551C5" w:rsidRPr="008B359A" w14:paraId="32626758" w14:textId="77777777" w:rsidTr="00214786">
        <w:tc>
          <w:tcPr>
            <w:cnfStyle w:val="001000000000" w:firstRow="0" w:lastRow="0" w:firstColumn="1" w:lastColumn="0" w:oddVBand="0" w:evenVBand="0" w:oddHBand="0" w:evenHBand="0" w:firstRowFirstColumn="0" w:firstRowLastColumn="0" w:lastRowFirstColumn="0" w:lastRowLastColumn="0"/>
            <w:tcW w:w="3003" w:type="dxa"/>
          </w:tcPr>
          <w:p w14:paraId="27A4EF32" w14:textId="77777777" w:rsidR="009551C5" w:rsidRPr="008B359A" w:rsidRDefault="009551C5" w:rsidP="00D725B2">
            <w:pPr>
              <w:spacing w:before="120" w:after="100" w:afterAutospacing="1" w:line="240" w:lineRule="auto"/>
              <w:rPr>
                <w:rFonts w:ascii="Arial" w:hAnsi="Arial" w:cs="Arial"/>
                <w:b w:val="0"/>
                <w:bCs w:val="0"/>
                <w:iCs w:val="0"/>
                <w:sz w:val="24"/>
                <w:szCs w:val="24"/>
              </w:rPr>
            </w:pPr>
            <w:r w:rsidRPr="008B359A">
              <w:rPr>
                <w:rFonts w:ascii="Arial" w:hAnsi="Arial" w:cs="Arial"/>
                <w:b w:val="0"/>
                <w:bCs w:val="0"/>
                <w:iCs w:val="0"/>
                <w:sz w:val="24"/>
                <w:szCs w:val="24"/>
              </w:rPr>
              <w:t>Reflection</w:t>
            </w:r>
          </w:p>
        </w:tc>
        <w:tc>
          <w:tcPr>
            <w:tcW w:w="3003" w:type="dxa"/>
          </w:tcPr>
          <w:p w14:paraId="7D792887" w14:textId="77777777" w:rsidR="009551C5" w:rsidRPr="008B359A" w:rsidRDefault="009551C5" w:rsidP="00D725B2">
            <w:pPr>
              <w:spacing w:before="120" w:after="100" w:afterAutospacing="1" w:line="240" w:lineRule="auto"/>
              <w:cnfStyle w:val="000000000000" w:firstRow="0" w:lastRow="0" w:firstColumn="0" w:lastColumn="0" w:oddVBand="0" w:evenVBand="0" w:oddHBand="0" w:evenHBand="0" w:firstRowFirstColumn="0" w:firstRowLastColumn="0" w:lastRowFirstColumn="0" w:lastRowLastColumn="0"/>
              <w:rPr>
                <w:rFonts w:ascii="Arial" w:hAnsi="Arial" w:cs="Arial"/>
                <w:iCs w:val="0"/>
                <w:sz w:val="24"/>
                <w:szCs w:val="24"/>
              </w:rPr>
            </w:pPr>
            <w:r w:rsidRPr="008B359A">
              <w:rPr>
                <w:rFonts w:ascii="Arial" w:hAnsi="Arial" w:cs="Arial"/>
                <w:iCs w:val="0"/>
                <w:sz w:val="24"/>
                <w:szCs w:val="24"/>
              </w:rPr>
              <w:t>Reflective comments on the method of clinical reasoning used by the veterinary surgeon and/or comparison between veterinary surgeons</w:t>
            </w:r>
          </w:p>
        </w:tc>
        <w:tc>
          <w:tcPr>
            <w:tcW w:w="3004" w:type="dxa"/>
          </w:tcPr>
          <w:p w14:paraId="2C14BB4E" w14:textId="77777777" w:rsidR="009551C5" w:rsidRPr="008B359A" w:rsidRDefault="009551C5" w:rsidP="00D725B2">
            <w:pPr>
              <w:spacing w:before="120" w:after="100" w:afterAutospacing="1" w:line="240" w:lineRule="auto"/>
              <w:cnfStyle w:val="000000000000" w:firstRow="0" w:lastRow="0" w:firstColumn="0" w:lastColumn="0" w:oddVBand="0" w:evenVBand="0" w:oddHBand="0" w:evenHBand="0" w:firstRowFirstColumn="0" w:firstRowLastColumn="0" w:lastRowFirstColumn="0" w:lastRowLastColumn="0"/>
              <w:rPr>
                <w:rFonts w:ascii="Arial" w:hAnsi="Arial" w:cs="Arial"/>
                <w:iCs w:val="0"/>
                <w:sz w:val="24"/>
                <w:szCs w:val="24"/>
              </w:rPr>
            </w:pPr>
            <w:r w:rsidRPr="008B359A">
              <w:rPr>
                <w:rFonts w:ascii="Arial" w:hAnsi="Arial" w:cs="Arial"/>
                <w:iCs w:val="0"/>
                <w:sz w:val="24"/>
                <w:szCs w:val="24"/>
              </w:rPr>
              <w:t>Description of clinical reasoning without analysis of pros/cons or implications for own practice</w:t>
            </w:r>
          </w:p>
        </w:tc>
      </w:tr>
    </w:tbl>
    <w:p w14:paraId="5CCD1F1A" w14:textId="6D8FBCE9" w:rsidR="009551C5" w:rsidRDefault="00553C0A" w:rsidP="00D725B2">
      <w:pPr>
        <w:pStyle w:val="NoSpacing"/>
        <w:spacing w:before="120" w:after="100" w:afterAutospacing="1"/>
        <w:rPr>
          <w:rFonts w:ascii="Arial" w:hAnsi="Arial" w:cs="Arial"/>
          <w:i/>
          <w:iCs w:val="0"/>
          <w:sz w:val="24"/>
          <w:szCs w:val="24"/>
        </w:rPr>
      </w:pPr>
      <w:r w:rsidRPr="008B359A">
        <w:rPr>
          <w:rFonts w:ascii="Arial" w:hAnsi="Arial" w:cs="Arial"/>
          <w:i/>
          <w:iCs w:val="0"/>
          <w:sz w:val="24"/>
          <w:szCs w:val="24"/>
        </w:rPr>
        <w:t>Table 1 Criteria for categorisation of diary entry case type</w:t>
      </w:r>
    </w:p>
    <w:p w14:paraId="3E4F2550" w14:textId="77777777" w:rsidR="00F27719" w:rsidRPr="008B359A" w:rsidRDefault="00F27719" w:rsidP="00D725B2">
      <w:pPr>
        <w:pStyle w:val="NoSpacing"/>
        <w:spacing w:before="120" w:after="100" w:afterAutospacing="1"/>
        <w:rPr>
          <w:rFonts w:ascii="Arial" w:hAnsi="Arial" w:cs="Arial"/>
          <w:i/>
          <w:iCs w:val="0"/>
          <w:sz w:val="24"/>
          <w:szCs w:val="24"/>
        </w:rPr>
      </w:pPr>
    </w:p>
    <w:p w14:paraId="4D431231" w14:textId="1DF93835" w:rsidR="00C33B56" w:rsidRPr="008B359A" w:rsidRDefault="00FD6D62" w:rsidP="00D725B2">
      <w:pPr>
        <w:pStyle w:val="NoSpacing"/>
        <w:spacing w:before="120" w:after="100" w:afterAutospacing="1"/>
        <w:rPr>
          <w:rFonts w:ascii="Arial" w:hAnsi="Arial" w:cs="Arial"/>
          <w:iCs w:val="0"/>
          <w:sz w:val="24"/>
          <w:szCs w:val="24"/>
        </w:rPr>
      </w:pPr>
      <w:r w:rsidRPr="008B359A">
        <w:rPr>
          <w:rFonts w:ascii="Arial" w:hAnsi="Arial" w:cs="Arial"/>
          <w:iCs w:val="0"/>
          <w:sz w:val="24"/>
          <w:szCs w:val="24"/>
        </w:rPr>
        <w:t xml:space="preserve">The observation code frequency and reflection code frequency were then statistically compared to each of the classification variables to identify differences </w:t>
      </w:r>
      <w:r w:rsidR="00471A1B">
        <w:rPr>
          <w:rFonts w:ascii="Arial" w:hAnsi="Arial" w:cs="Arial"/>
          <w:iCs w:val="0"/>
          <w:sz w:val="24"/>
          <w:szCs w:val="24"/>
        </w:rPr>
        <w:t>- f</w:t>
      </w:r>
      <w:r w:rsidRPr="008B359A">
        <w:rPr>
          <w:rFonts w:ascii="Arial" w:hAnsi="Arial" w:cs="Arial"/>
          <w:iCs w:val="0"/>
          <w:sz w:val="24"/>
          <w:szCs w:val="24"/>
        </w:rPr>
        <w:t>or example,</w:t>
      </w:r>
      <w:r w:rsidR="00B82A3F" w:rsidRPr="008B359A">
        <w:rPr>
          <w:rFonts w:ascii="Arial" w:hAnsi="Arial" w:cs="Arial"/>
          <w:iCs w:val="0"/>
          <w:sz w:val="24"/>
          <w:szCs w:val="24"/>
        </w:rPr>
        <w:t xml:space="preserve"> significant difference in observations made</w:t>
      </w:r>
      <w:r w:rsidRPr="008B359A">
        <w:rPr>
          <w:rFonts w:ascii="Arial" w:hAnsi="Arial" w:cs="Arial"/>
          <w:iCs w:val="0"/>
          <w:sz w:val="24"/>
          <w:szCs w:val="24"/>
        </w:rPr>
        <w:t xml:space="preserve"> between males and females. This was done using Mann-Whitney U test and </w:t>
      </w:r>
      <w:proofErr w:type="spellStart"/>
      <w:r w:rsidRPr="008B359A">
        <w:rPr>
          <w:rFonts w:ascii="Arial" w:hAnsi="Arial" w:cs="Arial"/>
          <w:iCs w:val="0"/>
          <w:sz w:val="24"/>
          <w:szCs w:val="24"/>
        </w:rPr>
        <w:t>Kruskall</w:t>
      </w:r>
      <w:proofErr w:type="spellEnd"/>
      <w:r w:rsidRPr="008B359A">
        <w:rPr>
          <w:rFonts w:ascii="Arial" w:hAnsi="Arial" w:cs="Arial"/>
          <w:iCs w:val="0"/>
          <w:sz w:val="24"/>
          <w:szCs w:val="24"/>
        </w:rPr>
        <w:t xml:space="preserve"> Wallis tests. Total observation and reflection in </w:t>
      </w:r>
      <w:r w:rsidR="00381422">
        <w:rPr>
          <w:rFonts w:ascii="Arial" w:hAnsi="Arial" w:cs="Arial"/>
          <w:iCs w:val="0"/>
          <w:sz w:val="24"/>
          <w:szCs w:val="24"/>
        </w:rPr>
        <w:t>the forms</w:t>
      </w:r>
      <w:r w:rsidRPr="008B359A">
        <w:rPr>
          <w:rFonts w:ascii="Arial" w:hAnsi="Arial" w:cs="Arial"/>
          <w:iCs w:val="0"/>
          <w:sz w:val="24"/>
          <w:szCs w:val="24"/>
        </w:rPr>
        <w:t xml:space="preserve"> were then compared to each other using Mann-Whitney t tests to detect an overall statistical difference for conclusion. </w:t>
      </w:r>
    </w:p>
    <w:p w14:paraId="560DF23E" w14:textId="4131EB7C" w:rsidR="00D725B2" w:rsidRDefault="001768DC" w:rsidP="00D725B2">
      <w:pPr>
        <w:pStyle w:val="NoSpacing"/>
        <w:spacing w:before="120" w:after="100" w:afterAutospacing="1"/>
        <w:rPr>
          <w:rFonts w:ascii="Arial" w:hAnsi="Arial" w:cs="Arial"/>
          <w:b/>
          <w:iCs w:val="0"/>
          <w:sz w:val="24"/>
          <w:szCs w:val="24"/>
        </w:rPr>
      </w:pPr>
      <w:r w:rsidRPr="008B359A">
        <w:rPr>
          <w:rFonts w:ascii="Arial" w:hAnsi="Arial" w:cs="Arial"/>
          <w:b/>
          <w:iCs w:val="0"/>
          <w:sz w:val="24"/>
          <w:szCs w:val="24"/>
        </w:rPr>
        <w:t>Results</w:t>
      </w:r>
    </w:p>
    <w:p w14:paraId="3323DCCC" w14:textId="6F7A8CB9" w:rsidR="00381422" w:rsidRPr="00381422" w:rsidRDefault="00381422" w:rsidP="00D725B2">
      <w:pPr>
        <w:pStyle w:val="NoSpacing"/>
        <w:spacing w:before="120" w:after="100" w:afterAutospacing="1"/>
        <w:rPr>
          <w:rFonts w:ascii="Arial" w:hAnsi="Arial" w:cs="Arial"/>
          <w:iCs w:val="0"/>
          <w:sz w:val="24"/>
          <w:szCs w:val="24"/>
        </w:rPr>
      </w:pPr>
      <w:r w:rsidRPr="00381422">
        <w:rPr>
          <w:rFonts w:ascii="Arial" w:hAnsi="Arial" w:cs="Arial"/>
          <w:iCs w:val="0"/>
          <w:sz w:val="24"/>
          <w:szCs w:val="24"/>
        </w:rPr>
        <w:t xml:space="preserve">Thirty-one students were recruited for the study. Nineteen students returned a fully completed set of forms. </w:t>
      </w:r>
      <w:r>
        <w:rPr>
          <w:rFonts w:ascii="Arial" w:hAnsi="Arial" w:cs="Arial"/>
          <w:iCs w:val="0"/>
          <w:sz w:val="24"/>
          <w:szCs w:val="24"/>
        </w:rPr>
        <w:t xml:space="preserve">Of these, 15 were third-year students, </w:t>
      </w:r>
      <w:r w:rsidR="009560EE">
        <w:rPr>
          <w:rFonts w:ascii="Arial" w:hAnsi="Arial" w:cs="Arial"/>
          <w:iCs w:val="0"/>
          <w:sz w:val="24"/>
          <w:szCs w:val="24"/>
        </w:rPr>
        <w:t xml:space="preserve">3 were fourth-year students and one was a fifth-year student. </w:t>
      </w:r>
    </w:p>
    <w:p w14:paraId="522197FC" w14:textId="06FE0B1D" w:rsidR="00996AD3" w:rsidRPr="008B359A" w:rsidRDefault="00996AD3" w:rsidP="00D725B2">
      <w:pPr>
        <w:pStyle w:val="NoSpacing"/>
        <w:spacing w:before="120" w:after="100" w:afterAutospacing="1"/>
        <w:rPr>
          <w:rFonts w:ascii="Arial" w:hAnsi="Arial" w:cs="Arial"/>
          <w:iCs w:val="0"/>
          <w:sz w:val="24"/>
          <w:szCs w:val="24"/>
        </w:rPr>
      </w:pPr>
      <w:r w:rsidRPr="008B359A">
        <w:rPr>
          <w:rFonts w:ascii="Arial" w:hAnsi="Arial" w:cs="Arial"/>
          <w:iCs w:val="0"/>
          <w:sz w:val="24"/>
          <w:szCs w:val="24"/>
        </w:rPr>
        <w:lastRenderedPageBreak/>
        <w:t xml:space="preserve">The mean average of observations and reflective comments identified in each of the forms is summarised in table 2. </w:t>
      </w:r>
      <w:r w:rsidR="001D6B21" w:rsidRPr="008B359A">
        <w:rPr>
          <w:rFonts w:ascii="Arial" w:hAnsi="Arial" w:cs="Arial"/>
          <w:iCs w:val="0"/>
          <w:sz w:val="24"/>
          <w:szCs w:val="24"/>
        </w:rPr>
        <w:t>The decision diary shows a marked increase in both observations and reflective comments made over the unstructured notes sheet and standard case template</w:t>
      </w:r>
      <w:r w:rsidR="0024100E" w:rsidRPr="008B359A">
        <w:rPr>
          <w:rFonts w:ascii="Arial" w:hAnsi="Arial" w:cs="Arial"/>
          <w:iCs w:val="0"/>
          <w:sz w:val="24"/>
          <w:szCs w:val="24"/>
        </w:rPr>
        <w:t>, indicating that the decision diary aided in the clinical reasoning process</w:t>
      </w:r>
      <w:r w:rsidR="001D6B21" w:rsidRPr="008B359A">
        <w:rPr>
          <w:rFonts w:ascii="Arial" w:hAnsi="Arial" w:cs="Arial"/>
          <w:iCs w:val="0"/>
          <w:sz w:val="24"/>
          <w:szCs w:val="24"/>
        </w:rPr>
        <w:t>. The standard case template had a slightly higher frequency of observations made than the unstructured notes sheet</w:t>
      </w:r>
      <w:r w:rsidR="00471A1B">
        <w:rPr>
          <w:rFonts w:ascii="Arial" w:hAnsi="Arial" w:cs="Arial"/>
          <w:iCs w:val="0"/>
          <w:sz w:val="24"/>
          <w:szCs w:val="24"/>
        </w:rPr>
        <w:t>,</w:t>
      </w:r>
      <w:r w:rsidR="001D6B21" w:rsidRPr="008B359A">
        <w:rPr>
          <w:rFonts w:ascii="Arial" w:hAnsi="Arial" w:cs="Arial"/>
          <w:iCs w:val="0"/>
          <w:sz w:val="24"/>
          <w:szCs w:val="24"/>
        </w:rPr>
        <w:t xml:space="preserve"> however</w:t>
      </w:r>
      <w:r w:rsidR="00471A1B">
        <w:rPr>
          <w:rFonts w:ascii="Arial" w:hAnsi="Arial" w:cs="Arial"/>
          <w:iCs w:val="0"/>
          <w:sz w:val="24"/>
          <w:szCs w:val="24"/>
        </w:rPr>
        <w:t xml:space="preserve"> it also</w:t>
      </w:r>
      <w:r w:rsidR="001D6B21" w:rsidRPr="008B359A">
        <w:rPr>
          <w:rFonts w:ascii="Arial" w:hAnsi="Arial" w:cs="Arial"/>
          <w:iCs w:val="0"/>
          <w:sz w:val="24"/>
          <w:szCs w:val="24"/>
        </w:rPr>
        <w:t xml:space="preserve"> had almost less than half the reflective comments tha</w:t>
      </w:r>
      <w:r w:rsidR="0024100E" w:rsidRPr="008B359A">
        <w:rPr>
          <w:rFonts w:ascii="Arial" w:hAnsi="Arial" w:cs="Arial"/>
          <w:iCs w:val="0"/>
          <w:sz w:val="24"/>
          <w:szCs w:val="24"/>
        </w:rPr>
        <w:t xml:space="preserve">n the unstructured notes sheet. </w:t>
      </w:r>
      <w:r w:rsidR="00C33B56" w:rsidRPr="008B359A">
        <w:rPr>
          <w:rFonts w:ascii="Arial" w:hAnsi="Arial" w:cs="Arial"/>
          <w:iCs w:val="0"/>
          <w:sz w:val="24"/>
          <w:szCs w:val="24"/>
        </w:rPr>
        <w:t xml:space="preserve">The most reflections were made in the decision diary, then the unstructured notes sheet and the fewest in the standard case template. </w:t>
      </w:r>
    </w:p>
    <w:tbl>
      <w:tblPr>
        <w:tblStyle w:val="PlainTable1"/>
        <w:tblW w:w="0" w:type="auto"/>
        <w:tblLook w:val="04A0" w:firstRow="1" w:lastRow="0" w:firstColumn="1" w:lastColumn="0" w:noHBand="0" w:noVBand="1"/>
      </w:tblPr>
      <w:tblGrid>
        <w:gridCol w:w="3235"/>
        <w:gridCol w:w="2160"/>
        <w:gridCol w:w="2342"/>
      </w:tblGrid>
      <w:tr w:rsidR="00996AD3" w:rsidRPr="008B359A" w14:paraId="2585CE4D" w14:textId="77777777" w:rsidTr="00996AD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35" w:type="dxa"/>
          </w:tcPr>
          <w:p w14:paraId="2F2BAE99" w14:textId="77777777" w:rsidR="00996AD3" w:rsidRPr="008B359A" w:rsidRDefault="00996AD3" w:rsidP="00D725B2">
            <w:pPr>
              <w:pStyle w:val="NoSpacing"/>
              <w:spacing w:before="120" w:after="100" w:afterAutospacing="1"/>
              <w:rPr>
                <w:rFonts w:ascii="Arial" w:hAnsi="Arial" w:cs="Arial"/>
                <w:b w:val="0"/>
                <w:bCs w:val="0"/>
                <w:iCs w:val="0"/>
                <w:sz w:val="24"/>
                <w:szCs w:val="24"/>
              </w:rPr>
            </w:pPr>
          </w:p>
        </w:tc>
        <w:tc>
          <w:tcPr>
            <w:tcW w:w="2160" w:type="dxa"/>
          </w:tcPr>
          <w:p w14:paraId="39D6006B" w14:textId="0FDEAD9E" w:rsidR="00996AD3" w:rsidRPr="008B359A" w:rsidRDefault="00996AD3" w:rsidP="00D725B2">
            <w:pPr>
              <w:pStyle w:val="NoSpacing"/>
              <w:spacing w:before="120" w:after="100" w:afterAutospacing="1"/>
              <w:cnfStyle w:val="100000000000" w:firstRow="1" w:lastRow="0" w:firstColumn="0" w:lastColumn="0" w:oddVBand="0" w:evenVBand="0" w:oddHBand="0" w:evenHBand="0" w:firstRowFirstColumn="0" w:firstRowLastColumn="0" w:lastRowFirstColumn="0" w:lastRowLastColumn="0"/>
              <w:rPr>
                <w:rFonts w:ascii="Arial" w:hAnsi="Arial" w:cs="Arial"/>
                <w:b w:val="0"/>
                <w:bCs w:val="0"/>
                <w:iCs w:val="0"/>
                <w:sz w:val="24"/>
                <w:szCs w:val="24"/>
              </w:rPr>
            </w:pPr>
            <w:r w:rsidRPr="008B359A">
              <w:rPr>
                <w:rFonts w:ascii="Arial" w:hAnsi="Arial" w:cs="Arial"/>
                <w:b w:val="0"/>
                <w:bCs w:val="0"/>
                <w:iCs w:val="0"/>
                <w:sz w:val="24"/>
                <w:szCs w:val="24"/>
              </w:rPr>
              <w:t>Mean observation frequency</w:t>
            </w:r>
          </w:p>
        </w:tc>
        <w:tc>
          <w:tcPr>
            <w:tcW w:w="2342" w:type="dxa"/>
          </w:tcPr>
          <w:p w14:paraId="61DAE4BB" w14:textId="4EEE989F" w:rsidR="00996AD3" w:rsidRPr="008B359A" w:rsidRDefault="00996AD3" w:rsidP="00D725B2">
            <w:pPr>
              <w:pStyle w:val="NoSpacing"/>
              <w:spacing w:before="120" w:after="100" w:afterAutospacing="1"/>
              <w:cnfStyle w:val="100000000000" w:firstRow="1" w:lastRow="0" w:firstColumn="0" w:lastColumn="0" w:oddVBand="0" w:evenVBand="0" w:oddHBand="0" w:evenHBand="0" w:firstRowFirstColumn="0" w:firstRowLastColumn="0" w:lastRowFirstColumn="0" w:lastRowLastColumn="0"/>
              <w:rPr>
                <w:rFonts w:ascii="Arial" w:hAnsi="Arial" w:cs="Arial"/>
                <w:b w:val="0"/>
                <w:bCs w:val="0"/>
                <w:iCs w:val="0"/>
                <w:sz w:val="24"/>
                <w:szCs w:val="24"/>
              </w:rPr>
            </w:pPr>
            <w:r w:rsidRPr="008B359A">
              <w:rPr>
                <w:rFonts w:ascii="Arial" w:hAnsi="Arial" w:cs="Arial"/>
                <w:b w:val="0"/>
                <w:bCs w:val="0"/>
                <w:iCs w:val="0"/>
                <w:sz w:val="24"/>
                <w:szCs w:val="24"/>
              </w:rPr>
              <w:t>Mean Reflection frequency</w:t>
            </w:r>
          </w:p>
        </w:tc>
      </w:tr>
      <w:tr w:rsidR="00996AD3" w:rsidRPr="008B359A" w14:paraId="23FA8E1F" w14:textId="77777777" w:rsidTr="00996A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35" w:type="dxa"/>
          </w:tcPr>
          <w:p w14:paraId="194816D3" w14:textId="2B1B37BF" w:rsidR="00996AD3" w:rsidRPr="008B359A" w:rsidRDefault="00471A1B" w:rsidP="00D725B2">
            <w:pPr>
              <w:pStyle w:val="NoSpacing"/>
              <w:spacing w:before="120" w:after="100" w:afterAutospacing="1"/>
              <w:rPr>
                <w:rFonts w:ascii="Arial" w:hAnsi="Arial" w:cs="Arial"/>
                <w:b w:val="0"/>
                <w:bCs w:val="0"/>
                <w:iCs w:val="0"/>
                <w:sz w:val="24"/>
                <w:szCs w:val="24"/>
              </w:rPr>
            </w:pPr>
            <w:r>
              <w:rPr>
                <w:rFonts w:ascii="Arial" w:hAnsi="Arial" w:cs="Arial"/>
                <w:b w:val="0"/>
                <w:bCs w:val="0"/>
                <w:iCs w:val="0"/>
                <w:sz w:val="24"/>
                <w:szCs w:val="24"/>
              </w:rPr>
              <w:t>Decision Diary</w:t>
            </w:r>
          </w:p>
        </w:tc>
        <w:tc>
          <w:tcPr>
            <w:tcW w:w="2160" w:type="dxa"/>
          </w:tcPr>
          <w:p w14:paraId="7DA04EA0" w14:textId="1573CBF9" w:rsidR="00996AD3" w:rsidRPr="008B359A" w:rsidRDefault="00996AD3" w:rsidP="00D725B2">
            <w:pPr>
              <w:pStyle w:val="NoSpacing"/>
              <w:spacing w:before="120" w:after="100" w:afterAutospacing="1"/>
              <w:cnfStyle w:val="000000100000" w:firstRow="0" w:lastRow="0" w:firstColumn="0" w:lastColumn="0" w:oddVBand="0" w:evenVBand="0" w:oddHBand="1" w:evenHBand="0" w:firstRowFirstColumn="0" w:firstRowLastColumn="0" w:lastRowFirstColumn="0" w:lastRowLastColumn="0"/>
              <w:rPr>
                <w:rFonts w:ascii="Arial" w:hAnsi="Arial" w:cs="Arial"/>
                <w:iCs w:val="0"/>
                <w:sz w:val="24"/>
                <w:szCs w:val="24"/>
              </w:rPr>
            </w:pPr>
            <w:r w:rsidRPr="008B359A">
              <w:rPr>
                <w:rFonts w:ascii="Arial" w:hAnsi="Arial" w:cs="Arial"/>
                <w:iCs w:val="0"/>
                <w:sz w:val="24"/>
                <w:szCs w:val="24"/>
              </w:rPr>
              <w:t>2.36</w:t>
            </w:r>
          </w:p>
        </w:tc>
        <w:tc>
          <w:tcPr>
            <w:tcW w:w="2342" w:type="dxa"/>
          </w:tcPr>
          <w:p w14:paraId="09F55640" w14:textId="1664BDC4" w:rsidR="00996AD3" w:rsidRPr="008B359A" w:rsidRDefault="00996AD3" w:rsidP="00D725B2">
            <w:pPr>
              <w:pStyle w:val="NoSpacing"/>
              <w:spacing w:before="120" w:after="100" w:afterAutospacing="1"/>
              <w:cnfStyle w:val="000000100000" w:firstRow="0" w:lastRow="0" w:firstColumn="0" w:lastColumn="0" w:oddVBand="0" w:evenVBand="0" w:oddHBand="1" w:evenHBand="0" w:firstRowFirstColumn="0" w:firstRowLastColumn="0" w:lastRowFirstColumn="0" w:lastRowLastColumn="0"/>
              <w:rPr>
                <w:rFonts w:ascii="Arial" w:hAnsi="Arial" w:cs="Arial"/>
                <w:iCs w:val="0"/>
                <w:sz w:val="24"/>
                <w:szCs w:val="24"/>
              </w:rPr>
            </w:pPr>
            <w:r w:rsidRPr="008B359A">
              <w:rPr>
                <w:rFonts w:ascii="Arial" w:hAnsi="Arial" w:cs="Arial"/>
                <w:iCs w:val="0"/>
                <w:sz w:val="24"/>
                <w:szCs w:val="24"/>
              </w:rPr>
              <w:t>2.21</w:t>
            </w:r>
          </w:p>
        </w:tc>
      </w:tr>
      <w:tr w:rsidR="00996AD3" w:rsidRPr="008B359A" w14:paraId="0E5D571F" w14:textId="77777777" w:rsidTr="00996AD3">
        <w:tc>
          <w:tcPr>
            <w:cnfStyle w:val="001000000000" w:firstRow="0" w:lastRow="0" w:firstColumn="1" w:lastColumn="0" w:oddVBand="0" w:evenVBand="0" w:oddHBand="0" w:evenHBand="0" w:firstRowFirstColumn="0" w:firstRowLastColumn="0" w:lastRowFirstColumn="0" w:lastRowLastColumn="0"/>
            <w:tcW w:w="3235" w:type="dxa"/>
          </w:tcPr>
          <w:p w14:paraId="5E2B0FEE" w14:textId="04205834" w:rsidR="00996AD3" w:rsidRPr="008B359A" w:rsidRDefault="00471A1B" w:rsidP="00D725B2">
            <w:pPr>
              <w:pStyle w:val="NoSpacing"/>
              <w:spacing w:before="120" w:after="100" w:afterAutospacing="1"/>
              <w:rPr>
                <w:rFonts w:ascii="Arial" w:hAnsi="Arial" w:cs="Arial"/>
                <w:b w:val="0"/>
                <w:bCs w:val="0"/>
                <w:iCs w:val="0"/>
                <w:sz w:val="24"/>
                <w:szCs w:val="24"/>
              </w:rPr>
            </w:pPr>
            <w:r>
              <w:rPr>
                <w:rFonts w:ascii="Arial" w:hAnsi="Arial" w:cs="Arial"/>
                <w:b w:val="0"/>
                <w:bCs w:val="0"/>
                <w:iCs w:val="0"/>
                <w:sz w:val="24"/>
                <w:szCs w:val="24"/>
              </w:rPr>
              <w:t>Unstructured Notes sheet</w:t>
            </w:r>
          </w:p>
        </w:tc>
        <w:tc>
          <w:tcPr>
            <w:tcW w:w="2160" w:type="dxa"/>
          </w:tcPr>
          <w:p w14:paraId="350F010B" w14:textId="47DDA441" w:rsidR="00996AD3" w:rsidRPr="008B359A" w:rsidRDefault="00996AD3" w:rsidP="00D725B2">
            <w:pPr>
              <w:pStyle w:val="NoSpacing"/>
              <w:spacing w:before="120" w:after="100" w:afterAutospacing="1"/>
              <w:cnfStyle w:val="000000000000" w:firstRow="0" w:lastRow="0" w:firstColumn="0" w:lastColumn="0" w:oddVBand="0" w:evenVBand="0" w:oddHBand="0" w:evenHBand="0" w:firstRowFirstColumn="0" w:firstRowLastColumn="0" w:lastRowFirstColumn="0" w:lastRowLastColumn="0"/>
              <w:rPr>
                <w:rFonts w:ascii="Arial" w:hAnsi="Arial" w:cs="Arial"/>
                <w:iCs w:val="0"/>
                <w:sz w:val="24"/>
                <w:szCs w:val="24"/>
              </w:rPr>
            </w:pPr>
            <w:r w:rsidRPr="008B359A">
              <w:rPr>
                <w:rFonts w:ascii="Arial" w:hAnsi="Arial" w:cs="Arial"/>
                <w:iCs w:val="0"/>
                <w:sz w:val="24"/>
                <w:szCs w:val="24"/>
              </w:rPr>
              <w:t>1.66</w:t>
            </w:r>
          </w:p>
        </w:tc>
        <w:tc>
          <w:tcPr>
            <w:tcW w:w="2342" w:type="dxa"/>
          </w:tcPr>
          <w:p w14:paraId="1BA7C5D6" w14:textId="1CF32250" w:rsidR="00996AD3" w:rsidRPr="008B359A" w:rsidRDefault="00996AD3" w:rsidP="00D725B2">
            <w:pPr>
              <w:pStyle w:val="NoSpacing"/>
              <w:spacing w:before="120" w:after="100" w:afterAutospacing="1"/>
              <w:cnfStyle w:val="000000000000" w:firstRow="0" w:lastRow="0" w:firstColumn="0" w:lastColumn="0" w:oddVBand="0" w:evenVBand="0" w:oddHBand="0" w:evenHBand="0" w:firstRowFirstColumn="0" w:firstRowLastColumn="0" w:lastRowFirstColumn="0" w:lastRowLastColumn="0"/>
              <w:rPr>
                <w:rFonts w:ascii="Arial" w:hAnsi="Arial" w:cs="Arial"/>
                <w:iCs w:val="0"/>
                <w:sz w:val="24"/>
                <w:szCs w:val="24"/>
              </w:rPr>
            </w:pPr>
            <w:r w:rsidRPr="008B359A">
              <w:rPr>
                <w:rFonts w:ascii="Arial" w:hAnsi="Arial" w:cs="Arial"/>
                <w:iCs w:val="0"/>
                <w:sz w:val="24"/>
                <w:szCs w:val="24"/>
              </w:rPr>
              <w:t>1.31</w:t>
            </w:r>
          </w:p>
        </w:tc>
      </w:tr>
      <w:tr w:rsidR="00996AD3" w:rsidRPr="008B359A" w14:paraId="5AC252D8" w14:textId="77777777" w:rsidTr="00996A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35" w:type="dxa"/>
          </w:tcPr>
          <w:p w14:paraId="2DE3F277" w14:textId="415B3453" w:rsidR="00996AD3" w:rsidRPr="008B359A" w:rsidRDefault="00471A1B" w:rsidP="00D725B2">
            <w:pPr>
              <w:pStyle w:val="NoSpacing"/>
              <w:spacing w:before="120" w:after="100" w:afterAutospacing="1"/>
              <w:rPr>
                <w:rFonts w:ascii="Arial" w:hAnsi="Arial" w:cs="Arial"/>
                <w:b w:val="0"/>
                <w:bCs w:val="0"/>
                <w:iCs w:val="0"/>
                <w:sz w:val="24"/>
                <w:szCs w:val="24"/>
              </w:rPr>
            </w:pPr>
            <w:r>
              <w:rPr>
                <w:rFonts w:ascii="Arial" w:hAnsi="Arial" w:cs="Arial"/>
                <w:b w:val="0"/>
                <w:bCs w:val="0"/>
                <w:iCs w:val="0"/>
                <w:sz w:val="24"/>
                <w:szCs w:val="24"/>
              </w:rPr>
              <w:t>Standard case template</w:t>
            </w:r>
          </w:p>
        </w:tc>
        <w:tc>
          <w:tcPr>
            <w:tcW w:w="2160" w:type="dxa"/>
          </w:tcPr>
          <w:p w14:paraId="1CD98D88" w14:textId="36782297" w:rsidR="00996AD3" w:rsidRPr="008B359A" w:rsidRDefault="00996AD3" w:rsidP="00D725B2">
            <w:pPr>
              <w:pStyle w:val="NoSpacing"/>
              <w:spacing w:before="120" w:after="100" w:afterAutospacing="1"/>
              <w:cnfStyle w:val="000000100000" w:firstRow="0" w:lastRow="0" w:firstColumn="0" w:lastColumn="0" w:oddVBand="0" w:evenVBand="0" w:oddHBand="1" w:evenHBand="0" w:firstRowFirstColumn="0" w:firstRowLastColumn="0" w:lastRowFirstColumn="0" w:lastRowLastColumn="0"/>
              <w:rPr>
                <w:rFonts w:ascii="Arial" w:hAnsi="Arial" w:cs="Arial"/>
                <w:iCs w:val="0"/>
                <w:sz w:val="24"/>
                <w:szCs w:val="24"/>
              </w:rPr>
            </w:pPr>
            <w:r w:rsidRPr="008B359A">
              <w:rPr>
                <w:rFonts w:ascii="Arial" w:hAnsi="Arial" w:cs="Arial"/>
                <w:iCs w:val="0"/>
                <w:sz w:val="24"/>
                <w:szCs w:val="24"/>
              </w:rPr>
              <w:t>1.71</w:t>
            </w:r>
          </w:p>
        </w:tc>
        <w:tc>
          <w:tcPr>
            <w:tcW w:w="2342" w:type="dxa"/>
          </w:tcPr>
          <w:p w14:paraId="61176D20" w14:textId="39D3D84B" w:rsidR="00996AD3" w:rsidRPr="008B359A" w:rsidRDefault="00996AD3" w:rsidP="00D725B2">
            <w:pPr>
              <w:pStyle w:val="NoSpacing"/>
              <w:spacing w:before="120" w:after="100" w:afterAutospacing="1"/>
              <w:cnfStyle w:val="000000100000" w:firstRow="0" w:lastRow="0" w:firstColumn="0" w:lastColumn="0" w:oddVBand="0" w:evenVBand="0" w:oddHBand="1" w:evenHBand="0" w:firstRowFirstColumn="0" w:firstRowLastColumn="0" w:lastRowFirstColumn="0" w:lastRowLastColumn="0"/>
              <w:rPr>
                <w:rFonts w:ascii="Arial" w:hAnsi="Arial" w:cs="Arial"/>
                <w:iCs w:val="0"/>
                <w:sz w:val="24"/>
                <w:szCs w:val="24"/>
              </w:rPr>
            </w:pPr>
            <w:r w:rsidRPr="008B359A">
              <w:rPr>
                <w:rFonts w:ascii="Arial" w:hAnsi="Arial" w:cs="Arial"/>
                <w:iCs w:val="0"/>
                <w:sz w:val="24"/>
                <w:szCs w:val="24"/>
              </w:rPr>
              <w:t>0.63</w:t>
            </w:r>
          </w:p>
        </w:tc>
      </w:tr>
    </w:tbl>
    <w:p w14:paraId="02EF958B" w14:textId="3F9B6615" w:rsidR="00214786" w:rsidRDefault="00996AD3" w:rsidP="00D725B2">
      <w:pPr>
        <w:pStyle w:val="NoSpacing"/>
        <w:spacing w:before="120" w:after="100" w:afterAutospacing="1"/>
        <w:rPr>
          <w:rFonts w:ascii="Arial" w:hAnsi="Arial" w:cs="Arial"/>
          <w:i/>
          <w:iCs w:val="0"/>
          <w:sz w:val="24"/>
          <w:szCs w:val="24"/>
        </w:rPr>
      </w:pPr>
      <w:r w:rsidRPr="008B359A">
        <w:rPr>
          <w:rFonts w:ascii="Arial" w:hAnsi="Arial" w:cs="Arial"/>
          <w:i/>
          <w:iCs w:val="0"/>
          <w:sz w:val="24"/>
          <w:szCs w:val="24"/>
        </w:rPr>
        <w:t xml:space="preserve">Table 2 Mean average of observations and reflective comments identified in each form. </w:t>
      </w:r>
    </w:p>
    <w:p w14:paraId="146FEDE6" w14:textId="5824AA6E" w:rsidR="00471A1B" w:rsidRDefault="00F27719" w:rsidP="00471A1B">
      <w:pPr>
        <w:pStyle w:val="NoSpacing"/>
        <w:spacing w:before="120" w:after="100" w:afterAutospacing="1"/>
        <w:rPr>
          <w:rFonts w:ascii="Arial" w:hAnsi="Arial" w:cs="Arial"/>
          <w:iCs w:val="0"/>
          <w:sz w:val="24"/>
          <w:szCs w:val="24"/>
        </w:rPr>
      </w:pPr>
      <w:r>
        <w:rPr>
          <w:rFonts w:ascii="Arial" w:hAnsi="Arial" w:cs="Arial"/>
          <w:iCs w:val="0"/>
          <w:sz w:val="24"/>
          <w:szCs w:val="24"/>
        </w:rPr>
        <w:t>The results from the statistical analysis of significance of these differences is shown in table 3</w:t>
      </w:r>
      <w:r w:rsidR="00471A1B" w:rsidRPr="008B359A">
        <w:rPr>
          <w:rFonts w:ascii="Arial" w:hAnsi="Arial" w:cs="Arial"/>
          <w:iCs w:val="0"/>
          <w:sz w:val="24"/>
          <w:szCs w:val="24"/>
        </w:rPr>
        <w:t xml:space="preserve">. </w:t>
      </w:r>
      <w:r>
        <w:rPr>
          <w:rFonts w:ascii="Arial" w:hAnsi="Arial" w:cs="Arial"/>
          <w:iCs w:val="0"/>
          <w:sz w:val="24"/>
          <w:szCs w:val="24"/>
        </w:rPr>
        <w:t xml:space="preserve">The Decision Diary was shown to produce significantly higher observation and reflection scores in comparison to the unstructured notes sheet, and the standard case study template. </w:t>
      </w:r>
    </w:p>
    <w:p w14:paraId="11AB1EEC" w14:textId="77777777" w:rsidR="00F27719" w:rsidRPr="00471A1B" w:rsidRDefault="00F27719" w:rsidP="00471A1B">
      <w:pPr>
        <w:pStyle w:val="NoSpacing"/>
        <w:spacing w:before="120" w:after="100" w:afterAutospacing="1"/>
        <w:rPr>
          <w:rFonts w:ascii="Arial" w:hAnsi="Arial" w:cs="Arial"/>
          <w:i/>
          <w:iCs w:val="0"/>
          <w:sz w:val="24"/>
          <w:szCs w:val="24"/>
        </w:rPr>
      </w:pPr>
    </w:p>
    <w:tbl>
      <w:tblPr>
        <w:tblStyle w:val="PlainTable1"/>
        <w:tblW w:w="0" w:type="auto"/>
        <w:tblLook w:val="04A0" w:firstRow="1" w:lastRow="0" w:firstColumn="1" w:lastColumn="0" w:noHBand="0" w:noVBand="1"/>
      </w:tblPr>
      <w:tblGrid>
        <w:gridCol w:w="2252"/>
        <w:gridCol w:w="2252"/>
        <w:gridCol w:w="2253"/>
      </w:tblGrid>
      <w:tr w:rsidR="00471A1B" w:rsidRPr="008B359A" w14:paraId="0DD3219F" w14:textId="77777777" w:rsidTr="00EC613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2" w:type="dxa"/>
          </w:tcPr>
          <w:p w14:paraId="2506508C" w14:textId="77777777" w:rsidR="00471A1B" w:rsidRPr="008B359A" w:rsidRDefault="00471A1B" w:rsidP="00EC6139">
            <w:pPr>
              <w:spacing w:before="120" w:after="100" w:afterAutospacing="1" w:line="240" w:lineRule="auto"/>
              <w:rPr>
                <w:rFonts w:ascii="Arial" w:hAnsi="Arial" w:cs="Arial"/>
                <w:b w:val="0"/>
                <w:bCs w:val="0"/>
                <w:iCs w:val="0"/>
                <w:sz w:val="24"/>
                <w:szCs w:val="24"/>
              </w:rPr>
            </w:pPr>
            <w:r w:rsidRPr="008B359A">
              <w:rPr>
                <w:rFonts w:ascii="Arial" w:hAnsi="Arial" w:cs="Arial"/>
                <w:b w:val="0"/>
                <w:bCs w:val="0"/>
                <w:iCs w:val="0"/>
                <w:sz w:val="24"/>
                <w:szCs w:val="24"/>
              </w:rPr>
              <w:t xml:space="preserve">Comparison of forms </w:t>
            </w:r>
          </w:p>
        </w:tc>
        <w:tc>
          <w:tcPr>
            <w:tcW w:w="2252" w:type="dxa"/>
          </w:tcPr>
          <w:p w14:paraId="7E4CC2FA" w14:textId="77777777" w:rsidR="00471A1B" w:rsidRPr="008B359A" w:rsidRDefault="00471A1B" w:rsidP="00EC6139">
            <w:pPr>
              <w:spacing w:before="120" w:after="100" w:afterAutospacing="1" w:line="240" w:lineRule="auto"/>
              <w:cnfStyle w:val="100000000000" w:firstRow="1" w:lastRow="0" w:firstColumn="0" w:lastColumn="0" w:oddVBand="0" w:evenVBand="0" w:oddHBand="0" w:evenHBand="0" w:firstRowFirstColumn="0" w:firstRowLastColumn="0" w:lastRowFirstColumn="0" w:lastRowLastColumn="0"/>
              <w:rPr>
                <w:rFonts w:ascii="Arial" w:hAnsi="Arial" w:cs="Arial"/>
                <w:b w:val="0"/>
                <w:bCs w:val="0"/>
                <w:iCs w:val="0"/>
                <w:sz w:val="24"/>
                <w:szCs w:val="24"/>
              </w:rPr>
            </w:pPr>
            <w:r w:rsidRPr="008B359A">
              <w:rPr>
                <w:rFonts w:ascii="Arial" w:hAnsi="Arial" w:cs="Arial"/>
                <w:b w:val="0"/>
                <w:bCs w:val="0"/>
                <w:iCs w:val="0"/>
                <w:sz w:val="24"/>
                <w:szCs w:val="24"/>
              </w:rPr>
              <w:t xml:space="preserve">Observation score p values </w:t>
            </w:r>
          </w:p>
        </w:tc>
        <w:tc>
          <w:tcPr>
            <w:tcW w:w="2253" w:type="dxa"/>
          </w:tcPr>
          <w:p w14:paraId="61E0F2E5" w14:textId="77777777" w:rsidR="00471A1B" w:rsidRPr="008B359A" w:rsidRDefault="00471A1B" w:rsidP="00EC6139">
            <w:pPr>
              <w:spacing w:before="120" w:after="100" w:afterAutospacing="1" w:line="240" w:lineRule="auto"/>
              <w:cnfStyle w:val="100000000000" w:firstRow="1" w:lastRow="0" w:firstColumn="0" w:lastColumn="0" w:oddVBand="0" w:evenVBand="0" w:oddHBand="0" w:evenHBand="0" w:firstRowFirstColumn="0" w:firstRowLastColumn="0" w:lastRowFirstColumn="0" w:lastRowLastColumn="0"/>
              <w:rPr>
                <w:rFonts w:ascii="Arial" w:hAnsi="Arial" w:cs="Arial"/>
                <w:b w:val="0"/>
                <w:bCs w:val="0"/>
                <w:iCs w:val="0"/>
                <w:sz w:val="24"/>
                <w:szCs w:val="24"/>
              </w:rPr>
            </w:pPr>
            <w:r w:rsidRPr="008B359A">
              <w:rPr>
                <w:rFonts w:ascii="Arial" w:hAnsi="Arial" w:cs="Arial"/>
                <w:b w:val="0"/>
                <w:bCs w:val="0"/>
                <w:iCs w:val="0"/>
                <w:sz w:val="24"/>
                <w:szCs w:val="24"/>
              </w:rPr>
              <w:t xml:space="preserve">Reflection score p values </w:t>
            </w:r>
          </w:p>
        </w:tc>
      </w:tr>
      <w:tr w:rsidR="00471A1B" w:rsidRPr="008B359A" w14:paraId="15AEE818" w14:textId="77777777" w:rsidTr="00EC61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2" w:type="dxa"/>
          </w:tcPr>
          <w:p w14:paraId="77BD8FD9" w14:textId="55946AFA" w:rsidR="00471A1B" w:rsidRPr="008B359A" w:rsidRDefault="00471A1B" w:rsidP="00EC6139">
            <w:pPr>
              <w:spacing w:before="120" w:after="100" w:afterAutospacing="1" w:line="240" w:lineRule="auto"/>
              <w:rPr>
                <w:rFonts w:ascii="Arial" w:hAnsi="Arial" w:cs="Arial"/>
                <w:b w:val="0"/>
                <w:bCs w:val="0"/>
                <w:iCs w:val="0"/>
                <w:sz w:val="24"/>
                <w:szCs w:val="24"/>
              </w:rPr>
            </w:pPr>
            <w:r>
              <w:rPr>
                <w:rFonts w:ascii="Arial" w:hAnsi="Arial" w:cs="Arial"/>
                <w:b w:val="0"/>
                <w:bCs w:val="0"/>
                <w:iCs w:val="0"/>
                <w:sz w:val="24"/>
                <w:szCs w:val="24"/>
              </w:rPr>
              <w:t>Decision Diary</w:t>
            </w:r>
            <w:r w:rsidRPr="008B359A">
              <w:rPr>
                <w:rFonts w:ascii="Arial" w:hAnsi="Arial" w:cs="Arial"/>
                <w:b w:val="0"/>
                <w:bCs w:val="0"/>
                <w:iCs w:val="0"/>
                <w:sz w:val="24"/>
                <w:szCs w:val="24"/>
              </w:rPr>
              <w:t xml:space="preserve"> and</w:t>
            </w:r>
            <w:r>
              <w:rPr>
                <w:rFonts w:ascii="Arial" w:hAnsi="Arial" w:cs="Arial"/>
                <w:b w:val="0"/>
                <w:bCs w:val="0"/>
                <w:iCs w:val="0"/>
                <w:sz w:val="24"/>
                <w:szCs w:val="24"/>
              </w:rPr>
              <w:t xml:space="preserve"> Unstructured notes</w:t>
            </w:r>
          </w:p>
        </w:tc>
        <w:tc>
          <w:tcPr>
            <w:tcW w:w="2252" w:type="dxa"/>
          </w:tcPr>
          <w:p w14:paraId="3E4475C9" w14:textId="77777777" w:rsidR="00471A1B" w:rsidRPr="008B359A" w:rsidRDefault="00471A1B" w:rsidP="00EC6139">
            <w:pPr>
              <w:spacing w:before="120" w:after="100" w:afterAutospacing="1" w:line="240" w:lineRule="auto"/>
              <w:cnfStyle w:val="000000100000" w:firstRow="0" w:lastRow="0" w:firstColumn="0" w:lastColumn="0" w:oddVBand="0" w:evenVBand="0" w:oddHBand="1" w:evenHBand="0" w:firstRowFirstColumn="0" w:firstRowLastColumn="0" w:lastRowFirstColumn="0" w:lastRowLastColumn="0"/>
              <w:rPr>
                <w:rFonts w:ascii="Arial" w:hAnsi="Arial" w:cs="Arial"/>
                <w:iCs w:val="0"/>
                <w:sz w:val="24"/>
                <w:szCs w:val="24"/>
              </w:rPr>
            </w:pPr>
            <w:r w:rsidRPr="008B359A">
              <w:rPr>
                <w:rFonts w:ascii="Arial" w:hAnsi="Arial" w:cs="Arial"/>
                <w:iCs w:val="0"/>
                <w:sz w:val="24"/>
                <w:szCs w:val="24"/>
              </w:rPr>
              <w:t>0.0382*</w:t>
            </w:r>
          </w:p>
        </w:tc>
        <w:tc>
          <w:tcPr>
            <w:tcW w:w="2253" w:type="dxa"/>
          </w:tcPr>
          <w:p w14:paraId="636786E5" w14:textId="77777777" w:rsidR="00471A1B" w:rsidRPr="008B359A" w:rsidRDefault="00471A1B" w:rsidP="00EC6139">
            <w:pPr>
              <w:spacing w:before="120" w:after="100" w:afterAutospacing="1" w:line="240" w:lineRule="auto"/>
              <w:cnfStyle w:val="000000100000" w:firstRow="0" w:lastRow="0" w:firstColumn="0" w:lastColumn="0" w:oddVBand="0" w:evenVBand="0" w:oddHBand="1" w:evenHBand="0" w:firstRowFirstColumn="0" w:firstRowLastColumn="0" w:lastRowFirstColumn="0" w:lastRowLastColumn="0"/>
              <w:rPr>
                <w:rFonts w:ascii="Arial" w:hAnsi="Arial" w:cs="Arial"/>
                <w:iCs w:val="0"/>
                <w:sz w:val="24"/>
                <w:szCs w:val="24"/>
              </w:rPr>
            </w:pPr>
            <w:r w:rsidRPr="008B359A">
              <w:rPr>
                <w:rFonts w:ascii="Arial" w:hAnsi="Arial" w:cs="Arial"/>
                <w:iCs w:val="0"/>
                <w:sz w:val="24"/>
                <w:szCs w:val="24"/>
              </w:rPr>
              <w:t>0.0039*</w:t>
            </w:r>
          </w:p>
        </w:tc>
      </w:tr>
      <w:tr w:rsidR="00471A1B" w:rsidRPr="008B359A" w14:paraId="46B48F23" w14:textId="77777777" w:rsidTr="00EC6139">
        <w:tc>
          <w:tcPr>
            <w:cnfStyle w:val="001000000000" w:firstRow="0" w:lastRow="0" w:firstColumn="1" w:lastColumn="0" w:oddVBand="0" w:evenVBand="0" w:oddHBand="0" w:evenHBand="0" w:firstRowFirstColumn="0" w:firstRowLastColumn="0" w:lastRowFirstColumn="0" w:lastRowLastColumn="0"/>
            <w:tcW w:w="2252" w:type="dxa"/>
          </w:tcPr>
          <w:p w14:paraId="720A9F95" w14:textId="15496DBF" w:rsidR="00471A1B" w:rsidRPr="008B359A" w:rsidRDefault="00471A1B" w:rsidP="00EC6139">
            <w:pPr>
              <w:spacing w:before="120" w:after="100" w:afterAutospacing="1" w:line="240" w:lineRule="auto"/>
              <w:rPr>
                <w:rFonts w:ascii="Arial" w:hAnsi="Arial" w:cs="Arial"/>
                <w:b w:val="0"/>
                <w:bCs w:val="0"/>
                <w:iCs w:val="0"/>
                <w:sz w:val="24"/>
                <w:szCs w:val="24"/>
              </w:rPr>
            </w:pPr>
            <w:r>
              <w:rPr>
                <w:rFonts w:ascii="Arial" w:hAnsi="Arial" w:cs="Arial"/>
                <w:b w:val="0"/>
                <w:bCs w:val="0"/>
                <w:iCs w:val="0"/>
                <w:sz w:val="24"/>
                <w:szCs w:val="24"/>
              </w:rPr>
              <w:t>Decision Diary</w:t>
            </w:r>
            <w:r w:rsidRPr="008B359A">
              <w:rPr>
                <w:rFonts w:ascii="Arial" w:hAnsi="Arial" w:cs="Arial"/>
                <w:b w:val="0"/>
                <w:bCs w:val="0"/>
                <w:iCs w:val="0"/>
                <w:sz w:val="24"/>
                <w:szCs w:val="24"/>
              </w:rPr>
              <w:t xml:space="preserve"> and</w:t>
            </w:r>
            <w:r>
              <w:rPr>
                <w:rFonts w:ascii="Arial" w:hAnsi="Arial" w:cs="Arial"/>
                <w:b w:val="0"/>
                <w:bCs w:val="0"/>
                <w:iCs w:val="0"/>
                <w:sz w:val="24"/>
                <w:szCs w:val="24"/>
              </w:rPr>
              <w:t xml:space="preserve"> Standard case study template</w:t>
            </w:r>
          </w:p>
        </w:tc>
        <w:tc>
          <w:tcPr>
            <w:tcW w:w="2252" w:type="dxa"/>
          </w:tcPr>
          <w:p w14:paraId="1C99002E" w14:textId="77777777" w:rsidR="00471A1B" w:rsidRPr="008B359A" w:rsidRDefault="00471A1B" w:rsidP="00EC6139">
            <w:pPr>
              <w:spacing w:before="120" w:after="100" w:afterAutospacing="1" w:line="240" w:lineRule="auto"/>
              <w:cnfStyle w:val="000000000000" w:firstRow="0" w:lastRow="0" w:firstColumn="0" w:lastColumn="0" w:oddVBand="0" w:evenVBand="0" w:oddHBand="0" w:evenHBand="0" w:firstRowFirstColumn="0" w:firstRowLastColumn="0" w:lastRowFirstColumn="0" w:lastRowLastColumn="0"/>
              <w:rPr>
                <w:rFonts w:ascii="Arial" w:hAnsi="Arial" w:cs="Arial"/>
                <w:iCs w:val="0"/>
                <w:sz w:val="24"/>
                <w:szCs w:val="24"/>
              </w:rPr>
            </w:pPr>
            <w:r w:rsidRPr="008B359A">
              <w:rPr>
                <w:rFonts w:ascii="Arial" w:hAnsi="Arial" w:cs="Arial"/>
                <w:iCs w:val="0"/>
                <w:sz w:val="24"/>
                <w:szCs w:val="24"/>
              </w:rPr>
              <w:t>0.0500*</w:t>
            </w:r>
          </w:p>
        </w:tc>
        <w:tc>
          <w:tcPr>
            <w:tcW w:w="2253" w:type="dxa"/>
          </w:tcPr>
          <w:p w14:paraId="34A8B1AA" w14:textId="77777777" w:rsidR="00471A1B" w:rsidRPr="008B359A" w:rsidRDefault="00471A1B" w:rsidP="00EC6139">
            <w:pPr>
              <w:spacing w:before="120" w:after="100" w:afterAutospacing="1" w:line="240" w:lineRule="auto"/>
              <w:cnfStyle w:val="000000000000" w:firstRow="0" w:lastRow="0" w:firstColumn="0" w:lastColumn="0" w:oddVBand="0" w:evenVBand="0" w:oddHBand="0" w:evenHBand="0" w:firstRowFirstColumn="0" w:firstRowLastColumn="0" w:lastRowFirstColumn="0" w:lastRowLastColumn="0"/>
              <w:rPr>
                <w:rFonts w:ascii="Arial" w:hAnsi="Arial" w:cs="Arial"/>
                <w:iCs w:val="0"/>
                <w:sz w:val="24"/>
                <w:szCs w:val="24"/>
              </w:rPr>
            </w:pPr>
            <w:r w:rsidRPr="008B359A">
              <w:rPr>
                <w:rFonts w:ascii="Arial" w:hAnsi="Arial" w:cs="Arial"/>
                <w:iCs w:val="0"/>
                <w:sz w:val="24"/>
                <w:szCs w:val="24"/>
              </w:rPr>
              <w:t>&lt;0.0001*</w:t>
            </w:r>
          </w:p>
        </w:tc>
      </w:tr>
      <w:tr w:rsidR="00471A1B" w:rsidRPr="008B359A" w14:paraId="35A4F5A2" w14:textId="77777777" w:rsidTr="00EC61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2" w:type="dxa"/>
          </w:tcPr>
          <w:p w14:paraId="17E41D64" w14:textId="638C5F99" w:rsidR="00471A1B" w:rsidRPr="008B359A" w:rsidRDefault="00471A1B" w:rsidP="00471A1B">
            <w:pPr>
              <w:spacing w:before="120" w:after="100" w:afterAutospacing="1" w:line="240" w:lineRule="auto"/>
              <w:rPr>
                <w:rFonts w:ascii="Arial" w:hAnsi="Arial" w:cs="Arial"/>
                <w:b w:val="0"/>
                <w:bCs w:val="0"/>
                <w:iCs w:val="0"/>
                <w:sz w:val="24"/>
                <w:szCs w:val="24"/>
              </w:rPr>
            </w:pPr>
            <w:r>
              <w:rPr>
                <w:rFonts w:ascii="Arial" w:hAnsi="Arial" w:cs="Arial"/>
                <w:b w:val="0"/>
                <w:bCs w:val="0"/>
                <w:iCs w:val="0"/>
                <w:sz w:val="24"/>
                <w:szCs w:val="24"/>
              </w:rPr>
              <w:t>Unstructured notes</w:t>
            </w:r>
            <w:r w:rsidRPr="008B359A">
              <w:rPr>
                <w:rFonts w:ascii="Arial" w:hAnsi="Arial" w:cs="Arial"/>
                <w:b w:val="0"/>
                <w:bCs w:val="0"/>
                <w:iCs w:val="0"/>
                <w:sz w:val="24"/>
                <w:szCs w:val="24"/>
              </w:rPr>
              <w:t xml:space="preserve"> and</w:t>
            </w:r>
            <w:r>
              <w:rPr>
                <w:rFonts w:ascii="Arial" w:hAnsi="Arial" w:cs="Arial"/>
                <w:b w:val="0"/>
                <w:bCs w:val="0"/>
                <w:iCs w:val="0"/>
                <w:sz w:val="24"/>
                <w:szCs w:val="24"/>
              </w:rPr>
              <w:t xml:space="preserve"> standard case study template</w:t>
            </w:r>
          </w:p>
        </w:tc>
        <w:tc>
          <w:tcPr>
            <w:tcW w:w="2252" w:type="dxa"/>
          </w:tcPr>
          <w:p w14:paraId="2548397B" w14:textId="77777777" w:rsidR="00471A1B" w:rsidRPr="008B359A" w:rsidRDefault="00471A1B" w:rsidP="00EC6139">
            <w:pPr>
              <w:spacing w:before="120" w:after="100" w:afterAutospacing="1" w:line="240" w:lineRule="auto"/>
              <w:cnfStyle w:val="000000100000" w:firstRow="0" w:lastRow="0" w:firstColumn="0" w:lastColumn="0" w:oddVBand="0" w:evenVBand="0" w:oddHBand="1" w:evenHBand="0" w:firstRowFirstColumn="0" w:firstRowLastColumn="0" w:lastRowFirstColumn="0" w:lastRowLastColumn="0"/>
              <w:rPr>
                <w:rFonts w:ascii="Arial" w:hAnsi="Arial" w:cs="Arial"/>
                <w:iCs w:val="0"/>
                <w:sz w:val="24"/>
                <w:szCs w:val="24"/>
              </w:rPr>
            </w:pPr>
            <w:r w:rsidRPr="008B359A">
              <w:rPr>
                <w:rFonts w:ascii="Arial" w:hAnsi="Arial" w:cs="Arial"/>
                <w:iCs w:val="0"/>
                <w:sz w:val="24"/>
                <w:szCs w:val="24"/>
              </w:rPr>
              <w:t>0.9849</w:t>
            </w:r>
          </w:p>
        </w:tc>
        <w:tc>
          <w:tcPr>
            <w:tcW w:w="2253" w:type="dxa"/>
          </w:tcPr>
          <w:p w14:paraId="5ED1E758" w14:textId="77777777" w:rsidR="00471A1B" w:rsidRPr="008B359A" w:rsidRDefault="00471A1B" w:rsidP="00EC6139">
            <w:pPr>
              <w:spacing w:before="120" w:after="100" w:afterAutospacing="1" w:line="240" w:lineRule="auto"/>
              <w:cnfStyle w:val="000000100000" w:firstRow="0" w:lastRow="0" w:firstColumn="0" w:lastColumn="0" w:oddVBand="0" w:evenVBand="0" w:oddHBand="1" w:evenHBand="0" w:firstRowFirstColumn="0" w:firstRowLastColumn="0" w:lastRowFirstColumn="0" w:lastRowLastColumn="0"/>
              <w:rPr>
                <w:rFonts w:ascii="Arial" w:hAnsi="Arial" w:cs="Arial"/>
                <w:iCs w:val="0"/>
                <w:sz w:val="24"/>
                <w:szCs w:val="24"/>
              </w:rPr>
            </w:pPr>
            <w:r w:rsidRPr="008B359A">
              <w:rPr>
                <w:rFonts w:ascii="Arial" w:hAnsi="Arial" w:cs="Arial"/>
                <w:iCs w:val="0"/>
                <w:sz w:val="24"/>
                <w:szCs w:val="24"/>
              </w:rPr>
              <w:t>0.0040*</w:t>
            </w:r>
          </w:p>
        </w:tc>
      </w:tr>
    </w:tbl>
    <w:p w14:paraId="14701974" w14:textId="2525FFBB" w:rsidR="00471A1B" w:rsidRPr="008B359A" w:rsidRDefault="00F27719" w:rsidP="00471A1B">
      <w:pPr>
        <w:pStyle w:val="NoSpacing"/>
        <w:spacing w:before="120" w:after="100" w:afterAutospacing="1"/>
        <w:rPr>
          <w:rFonts w:ascii="Arial" w:hAnsi="Arial" w:cs="Arial"/>
          <w:i/>
          <w:iCs w:val="0"/>
          <w:sz w:val="24"/>
          <w:szCs w:val="24"/>
        </w:rPr>
      </w:pPr>
      <w:r>
        <w:rPr>
          <w:rFonts w:ascii="Arial" w:hAnsi="Arial" w:cs="Arial"/>
          <w:i/>
          <w:iCs w:val="0"/>
          <w:sz w:val="24"/>
          <w:szCs w:val="24"/>
        </w:rPr>
        <w:t>Table 3</w:t>
      </w:r>
      <w:r w:rsidR="00471A1B" w:rsidRPr="008B359A">
        <w:rPr>
          <w:rFonts w:ascii="Arial" w:hAnsi="Arial" w:cs="Arial"/>
          <w:i/>
          <w:iCs w:val="0"/>
          <w:sz w:val="24"/>
          <w:szCs w:val="24"/>
        </w:rPr>
        <w:t xml:space="preserve"> Comparing total number of observations and total number of reflective comments made between </w:t>
      </w:r>
      <w:r>
        <w:rPr>
          <w:rFonts w:ascii="Arial" w:hAnsi="Arial" w:cs="Arial"/>
          <w:i/>
          <w:iCs w:val="0"/>
          <w:sz w:val="24"/>
          <w:szCs w:val="24"/>
        </w:rPr>
        <w:t xml:space="preserve">forms </w:t>
      </w:r>
      <w:r w:rsidR="00471A1B" w:rsidRPr="008B359A">
        <w:rPr>
          <w:rFonts w:ascii="Arial" w:hAnsi="Arial" w:cs="Arial"/>
          <w:i/>
          <w:iCs w:val="0"/>
          <w:sz w:val="24"/>
          <w:szCs w:val="24"/>
        </w:rPr>
        <w:t xml:space="preserve">to </w:t>
      </w:r>
      <w:r>
        <w:rPr>
          <w:rFonts w:ascii="Arial" w:hAnsi="Arial" w:cs="Arial"/>
          <w:i/>
          <w:iCs w:val="0"/>
          <w:sz w:val="24"/>
          <w:szCs w:val="24"/>
        </w:rPr>
        <w:t>determine any</w:t>
      </w:r>
      <w:r w:rsidR="00471A1B" w:rsidRPr="008B359A">
        <w:rPr>
          <w:rFonts w:ascii="Arial" w:hAnsi="Arial" w:cs="Arial"/>
          <w:i/>
          <w:iCs w:val="0"/>
          <w:sz w:val="24"/>
          <w:szCs w:val="24"/>
        </w:rPr>
        <w:t xml:space="preserve"> statistical difference between the forms. * </w:t>
      </w:r>
      <w:proofErr w:type="gramStart"/>
      <w:r w:rsidR="00471A1B" w:rsidRPr="008B359A">
        <w:rPr>
          <w:rFonts w:ascii="Arial" w:hAnsi="Arial" w:cs="Arial"/>
          <w:i/>
          <w:iCs w:val="0"/>
          <w:sz w:val="24"/>
          <w:szCs w:val="24"/>
        </w:rPr>
        <w:t>p</w:t>
      </w:r>
      <w:proofErr w:type="gramEnd"/>
      <w:r w:rsidR="00471A1B" w:rsidRPr="008B359A">
        <w:rPr>
          <w:rFonts w:ascii="Arial" w:hAnsi="Arial" w:cs="Arial"/>
          <w:i/>
          <w:iCs w:val="0"/>
          <w:sz w:val="24"/>
          <w:szCs w:val="24"/>
        </w:rPr>
        <w:t xml:space="preserve"> value ≤0.05, conclude that a significant different does exist</w:t>
      </w:r>
    </w:p>
    <w:p w14:paraId="47A8090C" w14:textId="77777777" w:rsidR="00471A1B" w:rsidRPr="008B359A" w:rsidRDefault="00471A1B" w:rsidP="00D725B2">
      <w:pPr>
        <w:pStyle w:val="NoSpacing"/>
        <w:spacing w:before="120" w:after="100" w:afterAutospacing="1"/>
        <w:rPr>
          <w:rFonts w:ascii="Arial" w:hAnsi="Arial" w:cs="Arial"/>
          <w:i/>
          <w:iCs w:val="0"/>
          <w:sz w:val="24"/>
          <w:szCs w:val="24"/>
        </w:rPr>
      </w:pPr>
    </w:p>
    <w:p w14:paraId="6E831CF1" w14:textId="534BAE41" w:rsidR="0024100E" w:rsidRPr="008B359A" w:rsidRDefault="0024100E" w:rsidP="00D725B2">
      <w:pPr>
        <w:pStyle w:val="NoSpacing"/>
        <w:spacing w:before="120" w:after="100" w:afterAutospacing="1"/>
        <w:rPr>
          <w:rFonts w:ascii="Arial" w:hAnsi="Arial" w:cs="Arial"/>
          <w:iCs w:val="0"/>
          <w:sz w:val="24"/>
          <w:szCs w:val="24"/>
        </w:rPr>
      </w:pPr>
      <w:r w:rsidRPr="008B359A">
        <w:rPr>
          <w:rFonts w:ascii="Arial" w:hAnsi="Arial" w:cs="Arial"/>
          <w:iCs w:val="0"/>
          <w:sz w:val="24"/>
          <w:szCs w:val="24"/>
        </w:rPr>
        <w:t xml:space="preserve">When comparing observations and reflections made between the different classifications </w:t>
      </w:r>
      <w:r w:rsidR="00F27719">
        <w:rPr>
          <w:rFonts w:ascii="Arial" w:hAnsi="Arial" w:cs="Arial"/>
          <w:iCs w:val="0"/>
          <w:sz w:val="24"/>
          <w:szCs w:val="24"/>
        </w:rPr>
        <w:t>(Table 4</w:t>
      </w:r>
      <w:r w:rsidR="009C4BD0" w:rsidRPr="008B359A">
        <w:rPr>
          <w:rFonts w:ascii="Arial" w:hAnsi="Arial" w:cs="Arial"/>
          <w:iCs w:val="0"/>
          <w:sz w:val="24"/>
          <w:szCs w:val="24"/>
        </w:rPr>
        <w:t xml:space="preserve">) </w:t>
      </w:r>
      <w:r w:rsidRPr="008B359A">
        <w:rPr>
          <w:rFonts w:ascii="Arial" w:hAnsi="Arial" w:cs="Arial"/>
          <w:iCs w:val="0"/>
          <w:sz w:val="24"/>
          <w:szCs w:val="24"/>
        </w:rPr>
        <w:t>e.g. difference in observations between males and females in each form, the majority of the p values are greater than 0.05</w:t>
      </w:r>
      <w:r w:rsidR="009C4BD0" w:rsidRPr="008B359A">
        <w:rPr>
          <w:rFonts w:ascii="Arial" w:hAnsi="Arial" w:cs="Arial"/>
          <w:iCs w:val="0"/>
          <w:sz w:val="24"/>
          <w:szCs w:val="24"/>
        </w:rPr>
        <w:t xml:space="preserve"> concluding no significant difference</w:t>
      </w:r>
      <w:r w:rsidRPr="008B359A">
        <w:rPr>
          <w:rFonts w:ascii="Arial" w:hAnsi="Arial" w:cs="Arial"/>
          <w:iCs w:val="0"/>
          <w:sz w:val="24"/>
          <w:szCs w:val="24"/>
        </w:rPr>
        <w:t xml:space="preserve">. The only p value less than 0.05 was in the comparison of observations made in males and females in form B, the </w:t>
      </w:r>
      <w:r w:rsidRPr="008B359A">
        <w:rPr>
          <w:rFonts w:ascii="Arial" w:hAnsi="Arial" w:cs="Arial"/>
          <w:iCs w:val="0"/>
          <w:sz w:val="24"/>
          <w:szCs w:val="24"/>
        </w:rPr>
        <w:lastRenderedPageBreak/>
        <w:t xml:space="preserve">unstructured notes sheet. It concluded that a significant difference did exist between males and females when using the unstructured notes sheet. </w:t>
      </w:r>
    </w:p>
    <w:tbl>
      <w:tblPr>
        <w:tblStyle w:val="PlainTable1"/>
        <w:tblW w:w="5000" w:type="pct"/>
        <w:tblLook w:val="04A0" w:firstRow="1" w:lastRow="0" w:firstColumn="1" w:lastColumn="0" w:noHBand="0" w:noVBand="1"/>
      </w:tblPr>
      <w:tblGrid>
        <w:gridCol w:w="2243"/>
        <w:gridCol w:w="2997"/>
        <w:gridCol w:w="1986"/>
        <w:gridCol w:w="1784"/>
      </w:tblGrid>
      <w:tr w:rsidR="00E87592" w:rsidRPr="008B359A" w14:paraId="1EEEDD3E" w14:textId="77777777" w:rsidTr="004D41D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5" w:type="pct"/>
          </w:tcPr>
          <w:p w14:paraId="7837D531" w14:textId="77777777" w:rsidR="001768DC" w:rsidRPr="008B359A" w:rsidRDefault="001768DC" w:rsidP="00D725B2">
            <w:pPr>
              <w:spacing w:before="120" w:after="100" w:afterAutospacing="1" w:line="240" w:lineRule="auto"/>
              <w:rPr>
                <w:rFonts w:ascii="Arial" w:hAnsi="Arial" w:cs="Arial"/>
                <w:b w:val="0"/>
                <w:bCs w:val="0"/>
                <w:iCs w:val="0"/>
                <w:sz w:val="24"/>
                <w:szCs w:val="24"/>
              </w:rPr>
            </w:pPr>
            <w:r w:rsidRPr="008B359A">
              <w:rPr>
                <w:rFonts w:ascii="Arial" w:hAnsi="Arial" w:cs="Arial"/>
                <w:b w:val="0"/>
                <w:bCs w:val="0"/>
                <w:iCs w:val="0"/>
                <w:sz w:val="24"/>
                <w:szCs w:val="24"/>
              </w:rPr>
              <w:t>Grouping variable</w:t>
            </w:r>
          </w:p>
        </w:tc>
        <w:tc>
          <w:tcPr>
            <w:tcW w:w="1663" w:type="pct"/>
          </w:tcPr>
          <w:p w14:paraId="10FAA839" w14:textId="77777777" w:rsidR="001768DC" w:rsidRPr="008B359A" w:rsidRDefault="001768DC" w:rsidP="00D725B2">
            <w:pPr>
              <w:spacing w:before="120" w:after="100" w:afterAutospacing="1" w:line="240" w:lineRule="auto"/>
              <w:cnfStyle w:val="100000000000" w:firstRow="1" w:lastRow="0" w:firstColumn="0" w:lastColumn="0" w:oddVBand="0" w:evenVBand="0" w:oddHBand="0" w:evenHBand="0" w:firstRowFirstColumn="0" w:firstRowLastColumn="0" w:lastRowFirstColumn="0" w:lastRowLastColumn="0"/>
              <w:rPr>
                <w:rFonts w:ascii="Arial" w:hAnsi="Arial" w:cs="Arial"/>
                <w:b w:val="0"/>
                <w:bCs w:val="0"/>
                <w:iCs w:val="0"/>
                <w:sz w:val="24"/>
                <w:szCs w:val="24"/>
              </w:rPr>
            </w:pPr>
            <w:r w:rsidRPr="008B359A">
              <w:rPr>
                <w:rFonts w:ascii="Arial" w:hAnsi="Arial" w:cs="Arial"/>
                <w:b w:val="0"/>
                <w:bCs w:val="0"/>
                <w:iCs w:val="0"/>
                <w:sz w:val="24"/>
                <w:szCs w:val="24"/>
              </w:rPr>
              <w:t>Form</w:t>
            </w:r>
          </w:p>
        </w:tc>
        <w:tc>
          <w:tcPr>
            <w:tcW w:w="1102" w:type="pct"/>
          </w:tcPr>
          <w:p w14:paraId="7B144A13" w14:textId="77777777" w:rsidR="001768DC" w:rsidRPr="008B359A" w:rsidRDefault="001768DC" w:rsidP="00D725B2">
            <w:pPr>
              <w:spacing w:before="120" w:after="100" w:afterAutospacing="1" w:line="240" w:lineRule="auto"/>
              <w:cnfStyle w:val="100000000000" w:firstRow="1" w:lastRow="0" w:firstColumn="0" w:lastColumn="0" w:oddVBand="0" w:evenVBand="0" w:oddHBand="0" w:evenHBand="0" w:firstRowFirstColumn="0" w:firstRowLastColumn="0" w:lastRowFirstColumn="0" w:lastRowLastColumn="0"/>
              <w:rPr>
                <w:rFonts w:ascii="Arial" w:hAnsi="Arial" w:cs="Arial"/>
                <w:b w:val="0"/>
                <w:bCs w:val="0"/>
                <w:iCs w:val="0"/>
                <w:sz w:val="24"/>
                <w:szCs w:val="24"/>
              </w:rPr>
            </w:pPr>
            <w:r w:rsidRPr="008B359A">
              <w:rPr>
                <w:rFonts w:ascii="Arial" w:hAnsi="Arial" w:cs="Arial"/>
                <w:b w:val="0"/>
                <w:bCs w:val="0"/>
                <w:iCs w:val="0"/>
                <w:sz w:val="24"/>
                <w:szCs w:val="24"/>
              </w:rPr>
              <w:t>Observation score p values</w:t>
            </w:r>
          </w:p>
        </w:tc>
        <w:tc>
          <w:tcPr>
            <w:tcW w:w="990" w:type="pct"/>
          </w:tcPr>
          <w:p w14:paraId="546AC405" w14:textId="77777777" w:rsidR="001768DC" w:rsidRPr="008B359A" w:rsidRDefault="001768DC" w:rsidP="00D725B2">
            <w:pPr>
              <w:spacing w:before="120" w:after="100" w:afterAutospacing="1" w:line="240" w:lineRule="auto"/>
              <w:cnfStyle w:val="100000000000" w:firstRow="1" w:lastRow="0" w:firstColumn="0" w:lastColumn="0" w:oddVBand="0" w:evenVBand="0" w:oddHBand="0" w:evenHBand="0" w:firstRowFirstColumn="0" w:firstRowLastColumn="0" w:lastRowFirstColumn="0" w:lastRowLastColumn="0"/>
              <w:rPr>
                <w:rFonts w:ascii="Arial" w:hAnsi="Arial" w:cs="Arial"/>
                <w:b w:val="0"/>
                <w:bCs w:val="0"/>
                <w:iCs w:val="0"/>
                <w:sz w:val="24"/>
                <w:szCs w:val="24"/>
              </w:rPr>
            </w:pPr>
            <w:r w:rsidRPr="008B359A">
              <w:rPr>
                <w:rFonts w:ascii="Arial" w:hAnsi="Arial" w:cs="Arial"/>
                <w:b w:val="0"/>
                <w:bCs w:val="0"/>
                <w:iCs w:val="0"/>
                <w:sz w:val="24"/>
                <w:szCs w:val="24"/>
              </w:rPr>
              <w:t>Reflection score p values</w:t>
            </w:r>
          </w:p>
        </w:tc>
      </w:tr>
      <w:tr w:rsidR="00E87592" w:rsidRPr="008B359A" w14:paraId="22BE1614" w14:textId="77777777" w:rsidTr="004D41DD">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1245" w:type="pct"/>
            <w:vMerge w:val="restart"/>
          </w:tcPr>
          <w:p w14:paraId="4CAA5CCE" w14:textId="20B26C1F" w:rsidR="001768DC" w:rsidRPr="008B359A" w:rsidRDefault="001768DC" w:rsidP="00D725B2">
            <w:pPr>
              <w:spacing w:before="120" w:after="100" w:afterAutospacing="1" w:line="240" w:lineRule="auto"/>
              <w:rPr>
                <w:rFonts w:ascii="Arial" w:hAnsi="Arial" w:cs="Arial"/>
                <w:b w:val="0"/>
                <w:bCs w:val="0"/>
                <w:iCs w:val="0"/>
                <w:sz w:val="24"/>
                <w:szCs w:val="24"/>
              </w:rPr>
            </w:pPr>
            <w:r w:rsidRPr="008B359A">
              <w:rPr>
                <w:rFonts w:ascii="Arial" w:hAnsi="Arial" w:cs="Arial"/>
                <w:b w:val="0"/>
                <w:bCs w:val="0"/>
                <w:iCs w:val="0"/>
                <w:sz w:val="24"/>
                <w:szCs w:val="24"/>
              </w:rPr>
              <w:t>Gender</w:t>
            </w:r>
            <w:r w:rsidR="00E87592" w:rsidRPr="008B359A">
              <w:rPr>
                <w:rFonts w:ascii="Arial" w:hAnsi="Arial" w:cs="Arial"/>
                <w:b w:val="0"/>
                <w:bCs w:val="0"/>
                <w:iCs w:val="0"/>
                <w:sz w:val="24"/>
                <w:szCs w:val="24"/>
              </w:rPr>
              <w:t xml:space="preserve"> (Male/Female)</w:t>
            </w:r>
          </w:p>
        </w:tc>
        <w:tc>
          <w:tcPr>
            <w:tcW w:w="1663" w:type="pct"/>
          </w:tcPr>
          <w:p w14:paraId="3EB7170A" w14:textId="1D5F54B8" w:rsidR="001768DC" w:rsidRPr="008B359A" w:rsidRDefault="004D41DD" w:rsidP="00D725B2">
            <w:pPr>
              <w:spacing w:before="120" w:after="100" w:afterAutospacing="1" w:line="240" w:lineRule="auto"/>
              <w:cnfStyle w:val="000000100000" w:firstRow="0" w:lastRow="0" w:firstColumn="0" w:lastColumn="0" w:oddVBand="0" w:evenVBand="0" w:oddHBand="1" w:evenHBand="0" w:firstRowFirstColumn="0" w:firstRowLastColumn="0" w:lastRowFirstColumn="0" w:lastRowLastColumn="0"/>
              <w:rPr>
                <w:rFonts w:ascii="Arial" w:hAnsi="Arial" w:cs="Arial"/>
                <w:iCs w:val="0"/>
                <w:sz w:val="24"/>
                <w:szCs w:val="24"/>
              </w:rPr>
            </w:pPr>
            <w:r>
              <w:rPr>
                <w:rFonts w:ascii="Arial" w:hAnsi="Arial" w:cs="Arial"/>
                <w:iCs w:val="0"/>
                <w:sz w:val="24"/>
                <w:szCs w:val="24"/>
              </w:rPr>
              <w:t>Decision Diary</w:t>
            </w:r>
          </w:p>
        </w:tc>
        <w:tc>
          <w:tcPr>
            <w:tcW w:w="1102" w:type="pct"/>
          </w:tcPr>
          <w:p w14:paraId="10FBAA0F" w14:textId="77777777" w:rsidR="001768DC" w:rsidRPr="008B359A" w:rsidRDefault="001768DC" w:rsidP="00D725B2">
            <w:pPr>
              <w:spacing w:before="120" w:after="100" w:afterAutospacing="1" w:line="240" w:lineRule="auto"/>
              <w:cnfStyle w:val="000000100000" w:firstRow="0" w:lastRow="0" w:firstColumn="0" w:lastColumn="0" w:oddVBand="0" w:evenVBand="0" w:oddHBand="1" w:evenHBand="0" w:firstRowFirstColumn="0" w:firstRowLastColumn="0" w:lastRowFirstColumn="0" w:lastRowLastColumn="0"/>
              <w:rPr>
                <w:rFonts w:ascii="Arial" w:hAnsi="Arial" w:cs="Arial"/>
                <w:iCs w:val="0"/>
                <w:sz w:val="24"/>
                <w:szCs w:val="24"/>
              </w:rPr>
            </w:pPr>
            <w:r w:rsidRPr="008B359A">
              <w:rPr>
                <w:rFonts w:ascii="Arial" w:hAnsi="Arial" w:cs="Arial"/>
                <w:iCs w:val="0"/>
                <w:sz w:val="24"/>
                <w:szCs w:val="24"/>
              </w:rPr>
              <w:t>0.334</w:t>
            </w:r>
          </w:p>
        </w:tc>
        <w:tc>
          <w:tcPr>
            <w:tcW w:w="990" w:type="pct"/>
          </w:tcPr>
          <w:p w14:paraId="21B7C99B" w14:textId="77777777" w:rsidR="001768DC" w:rsidRPr="008B359A" w:rsidRDefault="001768DC" w:rsidP="00D725B2">
            <w:pPr>
              <w:spacing w:before="120" w:after="100" w:afterAutospacing="1" w:line="240" w:lineRule="auto"/>
              <w:cnfStyle w:val="000000100000" w:firstRow="0" w:lastRow="0" w:firstColumn="0" w:lastColumn="0" w:oddVBand="0" w:evenVBand="0" w:oddHBand="1" w:evenHBand="0" w:firstRowFirstColumn="0" w:firstRowLastColumn="0" w:lastRowFirstColumn="0" w:lastRowLastColumn="0"/>
              <w:rPr>
                <w:rFonts w:ascii="Arial" w:hAnsi="Arial" w:cs="Arial"/>
                <w:iCs w:val="0"/>
                <w:sz w:val="24"/>
                <w:szCs w:val="24"/>
              </w:rPr>
            </w:pPr>
            <w:r w:rsidRPr="008B359A">
              <w:rPr>
                <w:rFonts w:ascii="Arial" w:hAnsi="Arial" w:cs="Arial"/>
                <w:iCs w:val="0"/>
                <w:sz w:val="24"/>
                <w:szCs w:val="24"/>
              </w:rPr>
              <w:t>0.373</w:t>
            </w:r>
          </w:p>
        </w:tc>
      </w:tr>
      <w:tr w:rsidR="00E87592" w:rsidRPr="008B359A" w14:paraId="47446E06" w14:textId="77777777" w:rsidTr="004D41DD">
        <w:trPr>
          <w:trHeight w:val="323"/>
        </w:trPr>
        <w:tc>
          <w:tcPr>
            <w:cnfStyle w:val="001000000000" w:firstRow="0" w:lastRow="0" w:firstColumn="1" w:lastColumn="0" w:oddVBand="0" w:evenVBand="0" w:oddHBand="0" w:evenHBand="0" w:firstRowFirstColumn="0" w:firstRowLastColumn="0" w:lastRowFirstColumn="0" w:lastRowLastColumn="0"/>
            <w:tcW w:w="1245" w:type="pct"/>
            <w:vMerge/>
          </w:tcPr>
          <w:p w14:paraId="7161BDC7" w14:textId="77777777" w:rsidR="001768DC" w:rsidRPr="008B359A" w:rsidRDefault="001768DC" w:rsidP="00D725B2">
            <w:pPr>
              <w:spacing w:before="120" w:after="100" w:afterAutospacing="1" w:line="240" w:lineRule="auto"/>
              <w:rPr>
                <w:rFonts w:ascii="Arial" w:hAnsi="Arial" w:cs="Arial"/>
                <w:b w:val="0"/>
                <w:bCs w:val="0"/>
                <w:iCs w:val="0"/>
                <w:sz w:val="24"/>
                <w:szCs w:val="24"/>
              </w:rPr>
            </w:pPr>
          </w:p>
        </w:tc>
        <w:tc>
          <w:tcPr>
            <w:tcW w:w="1663" w:type="pct"/>
          </w:tcPr>
          <w:p w14:paraId="4DBA6431" w14:textId="350C9461" w:rsidR="001768DC" w:rsidRPr="008B359A" w:rsidRDefault="004D41DD" w:rsidP="00D725B2">
            <w:pPr>
              <w:spacing w:before="120" w:after="100" w:afterAutospacing="1" w:line="240" w:lineRule="auto"/>
              <w:cnfStyle w:val="000000000000" w:firstRow="0" w:lastRow="0" w:firstColumn="0" w:lastColumn="0" w:oddVBand="0" w:evenVBand="0" w:oddHBand="0" w:evenHBand="0" w:firstRowFirstColumn="0" w:firstRowLastColumn="0" w:lastRowFirstColumn="0" w:lastRowLastColumn="0"/>
              <w:rPr>
                <w:rFonts w:ascii="Arial" w:hAnsi="Arial" w:cs="Arial"/>
                <w:iCs w:val="0"/>
                <w:sz w:val="24"/>
                <w:szCs w:val="24"/>
              </w:rPr>
            </w:pPr>
            <w:r>
              <w:rPr>
                <w:rFonts w:ascii="Arial" w:hAnsi="Arial" w:cs="Arial"/>
                <w:iCs w:val="0"/>
                <w:sz w:val="24"/>
                <w:szCs w:val="24"/>
              </w:rPr>
              <w:t>Unstructured notes</w:t>
            </w:r>
          </w:p>
        </w:tc>
        <w:tc>
          <w:tcPr>
            <w:tcW w:w="1102" w:type="pct"/>
          </w:tcPr>
          <w:p w14:paraId="02A29108" w14:textId="77777777" w:rsidR="001768DC" w:rsidRPr="008B359A" w:rsidRDefault="001768DC" w:rsidP="00D725B2">
            <w:pPr>
              <w:spacing w:before="120" w:after="100" w:afterAutospacing="1" w:line="240" w:lineRule="auto"/>
              <w:cnfStyle w:val="000000000000" w:firstRow="0" w:lastRow="0" w:firstColumn="0" w:lastColumn="0" w:oddVBand="0" w:evenVBand="0" w:oddHBand="0" w:evenHBand="0" w:firstRowFirstColumn="0" w:firstRowLastColumn="0" w:lastRowFirstColumn="0" w:lastRowLastColumn="0"/>
              <w:rPr>
                <w:rFonts w:ascii="Arial" w:hAnsi="Arial" w:cs="Arial"/>
                <w:iCs w:val="0"/>
                <w:sz w:val="24"/>
                <w:szCs w:val="24"/>
              </w:rPr>
            </w:pPr>
            <w:r w:rsidRPr="008B359A">
              <w:rPr>
                <w:rFonts w:ascii="Arial" w:hAnsi="Arial" w:cs="Arial"/>
                <w:iCs w:val="0"/>
                <w:sz w:val="24"/>
                <w:szCs w:val="24"/>
              </w:rPr>
              <w:t>0.020*</w:t>
            </w:r>
          </w:p>
        </w:tc>
        <w:tc>
          <w:tcPr>
            <w:tcW w:w="990" w:type="pct"/>
          </w:tcPr>
          <w:p w14:paraId="31A2A298" w14:textId="77777777" w:rsidR="001768DC" w:rsidRPr="008B359A" w:rsidRDefault="001768DC" w:rsidP="00D725B2">
            <w:pPr>
              <w:spacing w:before="120" w:after="100" w:afterAutospacing="1" w:line="240" w:lineRule="auto"/>
              <w:cnfStyle w:val="000000000000" w:firstRow="0" w:lastRow="0" w:firstColumn="0" w:lastColumn="0" w:oddVBand="0" w:evenVBand="0" w:oddHBand="0" w:evenHBand="0" w:firstRowFirstColumn="0" w:firstRowLastColumn="0" w:lastRowFirstColumn="0" w:lastRowLastColumn="0"/>
              <w:rPr>
                <w:rFonts w:ascii="Arial" w:hAnsi="Arial" w:cs="Arial"/>
                <w:iCs w:val="0"/>
                <w:sz w:val="24"/>
                <w:szCs w:val="24"/>
              </w:rPr>
            </w:pPr>
            <w:r w:rsidRPr="008B359A">
              <w:rPr>
                <w:rFonts w:ascii="Arial" w:hAnsi="Arial" w:cs="Arial"/>
                <w:iCs w:val="0"/>
                <w:sz w:val="24"/>
                <w:szCs w:val="24"/>
              </w:rPr>
              <w:t>0.706</w:t>
            </w:r>
          </w:p>
        </w:tc>
      </w:tr>
      <w:tr w:rsidR="00E87592" w:rsidRPr="008B359A" w14:paraId="52B3B274" w14:textId="77777777" w:rsidTr="004D41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5" w:type="pct"/>
            <w:vMerge/>
          </w:tcPr>
          <w:p w14:paraId="273DADA1" w14:textId="77777777" w:rsidR="001768DC" w:rsidRPr="008B359A" w:rsidRDefault="001768DC" w:rsidP="00D725B2">
            <w:pPr>
              <w:spacing w:before="120" w:after="100" w:afterAutospacing="1" w:line="240" w:lineRule="auto"/>
              <w:rPr>
                <w:rFonts w:ascii="Arial" w:hAnsi="Arial" w:cs="Arial"/>
                <w:b w:val="0"/>
                <w:bCs w:val="0"/>
                <w:iCs w:val="0"/>
                <w:sz w:val="24"/>
                <w:szCs w:val="24"/>
              </w:rPr>
            </w:pPr>
          </w:p>
        </w:tc>
        <w:tc>
          <w:tcPr>
            <w:tcW w:w="1663" w:type="pct"/>
          </w:tcPr>
          <w:p w14:paraId="043ABDFA" w14:textId="795349C2" w:rsidR="001768DC" w:rsidRPr="008B359A" w:rsidRDefault="004D41DD" w:rsidP="00D725B2">
            <w:pPr>
              <w:spacing w:before="120" w:after="100" w:afterAutospacing="1" w:line="240" w:lineRule="auto"/>
              <w:cnfStyle w:val="000000100000" w:firstRow="0" w:lastRow="0" w:firstColumn="0" w:lastColumn="0" w:oddVBand="0" w:evenVBand="0" w:oddHBand="1" w:evenHBand="0" w:firstRowFirstColumn="0" w:firstRowLastColumn="0" w:lastRowFirstColumn="0" w:lastRowLastColumn="0"/>
              <w:rPr>
                <w:rFonts w:ascii="Arial" w:hAnsi="Arial" w:cs="Arial"/>
                <w:iCs w:val="0"/>
                <w:sz w:val="24"/>
                <w:szCs w:val="24"/>
              </w:rPr>
            </w:pPr>
            <w:r>
              <w:rPr>
                <w:rFonts w:ascii="Arial" w:hAnsi="Arial" w:cs="Arial"/>
                <w:iCs w:val="0"/>
                <w:sz w:val="24"/>
                <w:szCs w:val="24"/>
              </w:rPr>
              <w:t xml:space="preserve">Standard case study </w:t>
            </w:r>
          </w:p>
        </w:tc>
        <w:tc>
          <w:tcPr>
            <w:tcW w:w="1102" w:type="pct"/>
          </w:tcPr>
          <w:p w14:paraId="5C96D40B" w14:textId="77777777" w:rsidR="001768DC" w:rsidRPr="008B359A" w:rsidRDefault="001768DC" w:rsidP="00D725B2">
            <w:pPr>
              <w:spacing w:before="120" w:after="100" w:afterAutospacing="1" w:line="240" w:lineRule="auto"/>
              <w:cnfStyle w:val="000000100000" w:firstRow="0" w:lastRow="0" w:firstColumn="0" w:lastColumn="0" w:oddVBand="0" w:evenVBand="0" w:oddHBand="1" w:evenHBand="0" w:firstRowFirstColumn="0" w:firstRowLastColumn="0" w:lastRowFirstColumn="0" w:lastRowLastColumn="0"/>
              <w:rPr>
                <w:rFonts w:ascii="Arial" w:hAnsi="Arial" w:cs="Arial"/>
                <w:iCs w:val="0"/>
                <w:sz w:val="24"/>
                <w:szCs w:val="24"/>
              </w:rPr>
            </w:pPr>
            <w:r w:rsidRPr="008B359A">
              <w:rPr>
                <w:rFonts w:ascii="Arial" w:hAnsi="Arial" w:cs="Arial"/>
                <w:iCs w:val="0"/>
                <w:sz w:val="24"/>
                <w:szCs w:val="24"/>
              </w:rPr>
              <w:t>0.165</w:t>
            </w:r>
          </w:p>
        </w:tc>
        <w:tc>
          <w:tcPr>
            <w:tcW w:w="990" w:type="pct"/>
          </w:tcPr>
          <w:p w14:paraId="21519AFD" w14:textId="77777777" w:rsidR="001768DC" w:rsidRPr="008B359A" w:rsidRDefault="001768DC" w:rsidP="00D725B2">
            <w:pPr>
              <w:spacing w:before="120" w:after="100" w:afterAutospacing="1" w:line="240" w:lineRule="auto"/>
              <w:cnfStyle w:val="000000100000" w:firstRow="0" w:lastRow="0" w:firstColumn="0" w:lastColumn="0" w:oddVBand="0" w:evenVBand="0" w:oddHBand="1" w:evenHBand="0" w:firstRowFirstColumn="0" w:firstRowLastColumn="0" w:lastRowFirstColumn="0" w:lastRowLastColumn="0"/>
              <w:rPr>
                <w:rFonts w:ascii="Arial" w:hAnsi="Arial" w:cs="Arial"/>
                <w:iCs w:val="0"/>
                <w:sz w:val="24"/>
                <w:szCs w:val="24"/>
              </w:rPr>
            </w:pPr>
            <w:r w:rsidRPr="008B359A">
              <w:rPr>
                <w:rFonts w:ascii="Arial" w:hAnsi="Arial" w:cs="Arial"/>
                <w:iCs w:val="0"/>
                <w:sz w:val="24"/>
                <w:szCs w:val="24"/>
              </w:rPr>
              <w:t>0.861</w:t>
            </w:r>
          </w:p>
        </w:tc>
      </w:tr>
      <w:tr w:rsidR="00E87592" w:rsidRPr="008B359A" w14:paraId="3E20B7DF" w14:textId="77777777" w:rsidTr="004D41DD">
        <w:tc>
          <w:tcPr>
            <w:cnfStyle w:val="001000000000" w:firstRow="0" w:lastRow="0" w:firstColumn="1" w:lastColumn="0" w:oddVBand="0" w:evenVBand="0" w:oddHBand="0" w:evenHBand="0" w:firstRowFirstColumn="0" w:firstRowLastColumn="0" w:lastRowFirstColumn="0" w:lastRowLastColumn="0"/>
            <w:tcW w:w="1245" w:type="pct"/>
            <w:vMerge w:val="restart"/>
          </w:tcPr>
          <w:p w14:paraId="52D1DE1D" w14:textId="77EAA691" w:rsidR="001768DC" w:rsidRPr="008B359A" w:rsidRDefault="001768DC" w:rsidP="00D725B2">
            <w:pPr>
              <w:spacing w:before="120" w:after="100" w:afterAutospacing="1" w:line="240" w:lineRule="auto"/>
              <w:rPr>
                <w:rFonts w:ascii="Arial" w:hAnsi="Arial" w:cs="Arial"/>
                <w:b w:val="0"/>
                <w:bCs w:val="0"/>
                <w:iCs w:val="0"/>
                <w:sz w:val="24"/>
                <w:szCs w:val="24"/>
              </w:rPr>
            </w:pPr>
            <w:r w:rsidRPr="008B359A">
              <w:rPr>
                <w:rFonts w:ascii="Arial" w:hAnsi="Arial" w:cs="Arial"/>
                <w:b w:val="0"/>
                <w:bCs w:val="0"/>
                <w:iCs w:val="0"/>
                <w:sz w:val="24"/>
                <w:szCs w:val="24"/>
              </w:rPr>
              <w:t>Year Group</w:t>
            </w:r>
            <w:r w:rsidR="00E87592" w:rsidRPr="008B359A">
              <w:rPr>
                <w:rFonts w:ascii="Arial" w:hAnsi="Arial" w:cs="Arial"/>
                <w:b w:val="0"/>
                <w:bCs w:val="0"/>
                <w:iCs w:val="0"/>
                <w:sz w:val="24"/>
                <w:szCs w:val="24"/>
              </w:rPr>
              <w:t xml:space="preserve"> (Third/Fourth/Fifth year)</w:t>
            </w:r>
          </w:p>
        </w:tc>
        <w:tc>
          <w:tcPr>
            <w:tcW w:w="1663" w:type="pct"/>
          </w:tcPr>
          <w:p w14:paraId="5842CD6F" w14:textId="4720AA8E" w:rsidR="001768DC" w:rsidRPr="008B359A" w:rsidRDefault="004D41DD" w:rsidP="00D725B2">
            <w:pPr>
              <w:spacing w:before="120" w:after="100" w:afterAutospacing="1" w:line="240" w:lineRule="auto"/>
              <w:cnfStyle w:val="000000000000" w:firstRow="0" w:lastRow="0" w:firstColumn="0" w:lastColumn="0" w:oddVBand="0" w:evenVBand="0" w:oddHBand="0" w:evenHBand="0" w:firstRowFirstColumn="0" w:firstRowLastColumn="0" w:lastRowFirstColumn="0" w:lastRowLastColumn="0"/>
              <w:rPr>
                <w:rFonts w:ascii="Arial" w:hAnsi="Arial" w:cs="Arial"/>
                <w:iCs w:val="0"/>
                <w:sz w:val="24"/>
                <w:szCs w:val="24"/>
              </w:rPr>
            </w:pPr>
            <w:r>
              <w:rPr>
                <w:rFonts w:ascii="Arial" w:hAnsi="Arial" w:cs="Arial"/>
                <w:iCs w:val="0"/>
                <w:sz w:val="24"/>
                <w:szCs w:val="24"/>
              </w:rPr>
              <w:t>Decision Diary</w:t>
            </w:r>
          </w:p>
        </w:tc>
        <w:tc>
          <w:tcPr>
            <w:tcW w:w="1102" w:type="pct"/>
          </w:tcPr>
          <w:p w14:paraId="15CFFF6E" w14:textId="77777777" w:rsidR="001768DC" w:rsidRPr="008B359A" w:rsidRDefault="001768DC" w:rsidP="00D725B2">
            <w:pPr>
              <w:spacing w:before="120" w:after="100" w:afterAutospacing="1" w:line="240" w:lineRule="auto"/>
              <w:cnfStyle w:val="000000000000" w:firstRow="0" w:lastRow="0" w:firstColumn="0" w:lastColumn="0" w:oddVBand="0" w:evenVBand="0" w:oddHBand="0" w:evenHBand="0" w:firstRowFirstColumn="0" w:firstRowLastColumn="0" w:lastRowFirstColumn="0" w:lastRowLastColumn="0"/>
              <w:rPr>
                <w:rFonts w:ascii="Arial" w:hAnsi="Arial" w:cs="Arial"/>
                <w:iCs w:val="0"/>
                <w:sz w:val="24"/>
                <w:szCs w:val="24"/>
              </w:rPr>
            </w:pPr>
            <w:r w:rsidRPr="008B359A">
              <w:rPr>
                <w:rFonts w:ascii="Arial" w:hAnsi="Arial" w:cs="Arial"/>
                <w:iCs w:val="0"/>
                <w:sz w:val="24"/>
                <w:szCs w:val="24"/>
              </w:rPr>
              <w:t>0.620</w:t>
            </w:r>
          </w:p>
        </w:tc>
        <w:tc>
          <w:tcPr>
            <w:tcW w:w="990" w:type="pct"/>
          </w:tcPr>
          <w:p w14:paraId="6786EC36" w14:textId="77777777" w:rsidR="001768DC" w:rsidRPr="008B359A" w:rsidRDefault="001768DC" w:rsidP="00D725B2">
            <w:pPr>
              <w:spacing w:before="120" w:after="100" w:afterAutospacing="1" w:line="240" w:lineRule="auto"/>
              <w:cnfStyle w:val="000000000000" w:firstRow="0" w:lastRow="0" w:firstColumn="0" w:lastColumn="0" w:oddVBand="0" w:evenVBand="0" w:oddHBand="0" w:evenHBand="0" w:firstRowFirstColumn="0" w:firstRowLastColumn="0" w:lastRowFirstColumn="0" w:lastRowLastColumn="0"/>
              <w:rPr>
                <w:rFonts w:ascii="Arial" w:hAnsi="Arial" w:cs="Arial"/>
                <w:iCs w:val="0"/>
                <w:sz w:val="24"/>
                <w:szCs w:val="24"/>
              </w:rPr>
            </w:pPr>
            <w:r w:rsidRPr="008B359A">
              <w:rPr>
                <w:rFonts w:ascii="Arial" w:hAnsi="Arial" w:cs="Arial"/>
                <w:iCs w:val="0"/>
                <w:sz w:val="24"/>
                <w:szCs w:val="24"/>
              </w:rPr>
              <w:t>0.268</w:t>
            </w:r>
          </w:p>
        </w:tc>
      </w:tr>
      <w:tr w:rsidR="00E87592" w:rsidRPr="008B359A" w14:paraId="4B0ACA51" w14:textId="77777777" w:rsidTr="004D41DD">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1245" w:type="pct"/>
            <w:vMerge/>
          </w:tcPr>
          <w:p w14:paraId="083AC134" w14:textId="77777777" w:rsidR="001768DC" w:rsidRPr="008B359A" w:rsidRDefault="001768DC" w:rsidP="00D725B2">
            <w:pPr>
              <w:spacing w:before="120" w:after="100" w:afterAutospacing="1" w:line="240" w:lineRule="auto"/>
              <w:rPr>
                <w:rFonts w:ascii="Arial" w:hAnsi="Arial" w:cs="Arial"/>
                <w:b w:val="0"/>
                <w:bCs w:val="0"/>
                <w:iCs w:val="0"/>
                <w:sz w:val="24"/>
                <w:szCs w:val="24"/>
              </w:rPr>
            </w:pPr>
          </w:p>
        </w:tc>
        <w:tc>
          <w:tcPr>
            <w:tcW w:w="1663" w:type="pct"/>
          </w:tcPr>
          <w:p w14:paraId="51129D8A" w14:textId="4AD97CF4" w:rsidR="001768DC" w:rsidRPr="008B359A" w:rsidRDefault="004D41DD" w:rsidP="00D725B2">
            <w:pPr>
              <w:spacing w:before="120" w:after="100" w:afterAutospacing="1" w:line="240" w:lineRule="auto"/>
              <w:cnfStyle w:val="000000100000" w:firstRow="0" w:lastRow="0" w:firstColumn="0" w:lastColumn="0" w:oddVBand="0" w:evenVBand="0" w:oddHBand="1" w:evenHBand="0" w:firstRowFirstColumn="0" w:firstRowLastColumn="0" w:lastRowFirstColumn="0" w:lastRowLastColumn="0"/>
              <w:rPr>
                <w:rFonts w:ascii="Arial" w:hAnsi="Arial" w:cs="Arial"/>
                <w:iCs w:val="0"/>
                <w:sz w:val="24"/>
                <w:szCs w:val="24"/>
              </w:rPr>
            </w:pPr>
            <w:r>
              <w:rPr>
                <w:rFonts w:ascii="Arial" w:hAnsi="Arial" w:cs="Arial"/>
                <w:iCs w:val="0"/>
                <w:sz w:val="24"/>
                <w:szCs w:val="24"/>
              </w:rPr>
              <w:t>Unstructured notes</w:t>
            </w:r>
          </w:p>
        </w:tc>
        <w:tc>
          <w:tcPr>
            <w:tcW w:w="1102" w:type="pct"/>
          </w:tcPr>
          <w:p w14:paraId="52329312" w14:textId="77777777" w:rsidR="001768DC" w:rsidRPr="008B359A" w:rsidRDefault="001768DC" w:rsidP="00D725B2">
            <w:pPr>
              <w:spacing w:before="120" w:after="100" w:afterAutospacing="1" w:line="240" w:lineRule="auto"/>
              <w:cnfStyle w:val="000000100000" w:firstRow="0" w:lastRow="0" w:firstColumn="0" w:lastColumn="0" w:oddVBand="0" w:evenVBand="0" w:oddHBand="1" w:evenHBand="0" w:firstRowFirstColumn="0" w:firstRowLastColumn="0" w:lastRowFirstColumn="0" w:lastRowLastColumn="0"/>
              <w:rPr>
                <w:rFonts w:ascii="Arial" w:hAnsi="Arial" w:cs="Arial"/>
                <w:iCs w:val="0"/>
                <w:sz w:val="24"/>
                <w:szCs w:val="24"/>
              </w:rPr>
            </w:pPr>
            <w:r w:rsidRPr="008B359A">
              <w:rPr>
                <w:rFonts w:ascii="Arial" w:hAnsi="Arial" w:cs="Arial"/>
                <w:iCs w:val="0"/>
                <w:sz w:val="24"/>
                <w:szCs w:val="24"/>
              </w:rPr>
              <w:t>0.076</w:t>
            </w:r>
          </w:p>
        </w:tc>
        <w:tc>
          <w:tcPr>
            <w:tcW w:w="990" w:type="pct"/>
          </w:tcPr>
          <w:p w14:paraId="7940EE81" w14:textId="77777777" w:rsidR="001768DC" w:rsidRPr="008B359A" w:rsidRDefault="001768DC" w:rsidP="00D725B2">
            <w:pPr>
              <w:spacing w:before="120" w:after="100" w:afterAutospacing="1" w:line="240" w:lineRule="auto"/>
              <w:cnfStyle w:val="000000100000" w:firstRow="0" w:lastRow="0" w:firstColumn="0" w:lastColumn="0" w:oddVBand="0" w:evenVBand="0" w:oddHBand="1" w:evenHBand="0" w:firstRowFirstColumn="0" w:firstRowLastColumn="0" w:lastRowFirstColumn="0" w:lastRowLastColumn="0"/>
              <w:rPr>
                <w:rFonts w:ascii="Arial" w:hAnsi="Arial" w:cs="Arial"/>
                <w:iCs w:val="0"/>
                <w:sz w:val="24"/>
                <w:szCs w:val="24"/>
              </w:rPr>
            </w:pPr>
            <w:r w:rsidRPr="008B359A">
              <w:rPr>
                <w:rFonts w:ascii="Arial" w:hAnsi="Arial" w:cs="Arial"/>
                <w:iCs w:val="0"/>
                <w:sz w:val="24"/>
                <w:szCs w:val="24"/>
              </w:rPr>
              <w:t>0.682</w:t>
            </w:r>
          </w:p>
        </w:tc>
      </w:tr>
      <w:tr w:rsidR="00E87592" w:rsidRPr="008B359A" w14:paraId="4CAAAA0C" w14:textId="77777777" w:rsidTr="004D41DD">
        <w:trPr>
          <w:trHeight w:val="323"/>
        </w:trPr>
        <w:tc>
          <w:tcPr>
            <w:cnfStyle w:val="001000000000" w:firstRow="0" w:lastRow="0" w:firstColumn="1" w:lastColumn="0" w:oddVBand="0" w:evenVBand="0" w:oddHBand="0" w:evenHBand="0" w:firstRowFirstColumn="0" w:firstRowLastColumn="0" w:lastRowFirstColumn="0" w:lastRowLastColumn="0"/>
            <w:tcW w:w="1245" w:type="pct"/>
            <w:vMerge/>
          </w:tcPr>
          <w:p w14:paraId="78005E36" w14:textId="77777777" w:rsidR="001768DC" w:rsidRPr="008B359A" w:rsidRDefault="001768DC" w:rsidP="00D725B2">
            <w:pPr>
              <w:spacing w:before="120" w:after="100" w:afterAutospacing="1" w:line="240" w:lineRule="auto"/>
              <w:rPr>
                <w:rFonts w:ascii="Arial" w:hAnsi="Arial" w:cs="Arial"/>
                <w:b w:val="0"/>
                <w:bCs w:val="0"/>
                <w:iCs w:val="0"/>
                <w:sz w:val="24"/>
                <w:szCs w:val="24"/>
              </w:rPr>
            </w:pPr>
          </w:p>
        </w:tc>
        <w:tc>
          <w:tcPr>
            <w:tcW w:w="1663" w:type="pct"/>
          </w:tcPr>
          <w:p w14:paraId="412B4730" w14:textId="5BDFF3B5" w:rsidR="001768DC" w:rsidRPr="008B359A" w:rsidRDefault="004D41DD" w:rsidP="00D725B2">
            <w:pPr>
              <w:spacing w:before="120" w:after="100" w:afterAutospacing="1" w:line="240" w:lineRule="auto"/>
              <w:cnfStyle w:val="000000000000" w:firstRow="0" w:lastRow="0" w:firstColumn="0" w:lastColumn="0" w:oddVBand="0" w:evenVBand="0" w:oddHBand="0" w:evenHBand="0" w:firstRowFirstColumn="0" w:firstRowLastColumn="0" w:lastRowFirstColumn="0" w:lastRowLastColumn="0"/>
              <w:rPr>
                <w:rFonts w:ascii="Arial" w:hAnsi="Arial" w:cs="Arial"/>
                <w:iCs w:val="0"/>
                <w:sz w:val="24"/>
                <w:szCs w:val="24"/>
              </w:rPr>
            </w:pPr>
            <w:r>
              <w:rPr>
                <w:rFonts w:ascii="Arial" w:hAnsi="Arial" w:cs="Arial"/>
                <w:iCs w:val="0"/>
                <w:sz w:val="24"/>
                <w:szCs w:val="24"/>
              </w:rPr>
              <w:t>Standard case study</w:t>
            </w:r>
          </w:p>
        </w:tc>
        <w:tc>
          <w:tcPr>
            <w:tcW w:w="1102" w:type="pct"/>
          </w:tcPr>
          <w:p w14:paraId="3456C2CC" w14:textId="77777777" w:rsidR="001768DC" w:rsidRPr="008B359A" w:rsidRDefault="001768DC" w:rsidP="00D725B2">
            <w:pPr>
              <w:spacing w:before="120" w:after="100" w:afterAutospacing="1" w:line="240" w:lineRule="auto"/>
              <w:cnfStyle w:val="000000000000" w:firstRow="0" w:lastRow="0" w:firstColumn="0" w:lastColumn="0" w:oddVBand="0" w:evenVBand="0" w:oddHBand="0" w:evenHBand="0" w:firstRowFirstColumn="0" w:firstRowLastColumn="0" w:lastRowFirstColumn="0" w:lastRowLastColumn="0"/>
              <w:rPr>
                <w:rFonts w:ascii="Arial" w:hAnsi="Arial" w:cs="Arial"/>
                <w:iCs w:val="0"/>
                <w:sz w:val="24"/>
                <w:szCs w:val="24"/>
              </w:rPr>
            </w:pPr>
            <w:r w:rsidRPr="008B359A">
              <w:rPr>
                <w:rFonts w:ascii="Arial" w:hAnsi="Arial" w:cs="Arial"/>
                <w:iCs w:val="0"/>
                <w:sz w:val="24"/>
                <w:szCs w:val="24"/>
              </w:rPr>
              <w:t>0.246</w:t>
            </w:r>
          </w:p>
        </w:tc>
        <w:tc>
          <w:tcPr>
            <w:tcW w:w="990" w:type="pct"/>
          </w:tcPr>
          <w:p w14:paraId="7F7BD516" w14:textId="77777777" w:rsidR="001768DC" w:rsidRPr="008B359A" w:rsidRDefault="001768DC" w:rsidP="00D725B2">
            <w:pPr>
              <w:spacing w:before="120" w:after="100" w:afterAutospacing="1" w:line="240" w:lineRule="auto"/>
              <w:cnfStyle w:val="000000000000" w:firstRow="0" w:lastRow="0" w:firstColumn="0" w:lastColumn="0" w:oddVBand="0" w:evenVBand="0" w:oddHBand="0" w:evenHBand="0" w:firstRowFirstColumn="0" w:firstRowLastColumn="0" w:lastRowFirstColumn="0" w:lastRowLastColumn="0"/>
              <w:rPr>
                <w:rFonts w:ascii="Arial" w:hAnsi="Arial" w:cs="Arial"/>
                <w:iCs w:val="0"/>
                <w:sz w:val="24"/>
                <w:szCs w:val="24"/>
              </w:rPr>
            </w:pPr>
            <w:r w:rsidRPr="008B359A">
              <w:rPr>
                <w:rFonts w:ascii="Arial" w:hAnsi="Arial" w:cs="Arial"/>
                <w:iCs w:val="0"/>
                <w:sz w:val="24"/>
                <w:szCs w:val="24"/>
              </w:rPr>
              <w:t>0.811</w:t>
            </w:r>
          </w:p>
        </w:tc>
      </w:tr>
      <w:tr w:rsidR="00E87592" w:rsidRPr="008B359A" w14:paraId="3E64E198" w14:textId="77777777" w:rsidTr="004D41DD">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1245" w:type="pct"/>
            <w:vMerge w:val="restart"/>
          </w:tcPr>
          <w:p w14:paraId="4A4A6E58" w14:textId="0005098F" w:rsidR="001768DC" w:rsidRPr="008B359A" w:rsidRDefault="001768DC" w:rsidP="00D725B2">
            <w:pPr>
              <w:spacing w:before="120" w:after="100" w:afterAutospacing="1" w:line="240" w:lineRule="auto"/>
              <w:rPr>
                <w:rFonts w:ascii="Arial" w:hAnsi="Arial" w:cs="Arial"/>
                <w:b w:val="0"/>
                <w:bCs w:val="0"/>
                <w:iCs w:val="0"/>
                <w:sz w:val="24"/>
                <w:szCs w:val="24"/>
              </w:rPr>
            </w:pPr>
            <w:r w:rsidRPr="008B359A">
              <w:rPr>
                <w:rFonts w:ascii="Arial" w:hAnsi="Arial" w:cs="Arial"/>
                <w:b w:val="0"/>
                <w:bCs w:val="0"/>
                <w:iCs w:val="0"/>
                <w:sz w:val="24"/>
                <w:szCs w:val="24"/>
              </w:rPr>
              <w:t xml:space="preserve">Species </w:t>
            </w:r>
            <w:r w:rsidR="00E87592" w:rsidRPr="008B359A">
              <w:rPr>
                <w:rFonts w:ascii="Arial" w:hAnsi="Arial" w:cs="Arial"/>
                <w:b w:val="0"/>
                <w:bCs w:val="0"/>
                <w:iCs w:val="0"/>
                <w:sz w:val="24"/>
                <w:szCs w:val="24"/>
              </w:rPr>
              <w:t>(Small animal/Farm animal/Equine)</w:t>
            </w:r>
          </w:p>
        </w:tc>
        <w:tc>
          <w:tcPr>
            <w:tcW w:w="1663" w:type="pct"/>
          </w:tcPr>
          <w:p w14:paraId="2477F399" w14:textId="5165D73B" w:rsidR="001768DC" w:rsidRPr="008B359A" w:rsidRDefault="004D41DD" w:rsidP="00D725B2">
            <w:pPr>
              <w:spacing w:before="120" w:after="100" w:afterAutospacing="1" w:line="240" w:lineRule="auto"/>
              <w:cnfStyle w:val="000000100000" w:firstRow="0" w:lastRow="0" w:firstColumn="0" w:lastColumn="0" w:oddVBand="0" w:evenVBand="0" w:oddHBand="1" w:evenHBand="0" w:firstRowFirstColumn="0" w:firstRowLastColumn="0" w:lastRowFirstColumn="0" w:lastRowLastColumn="0"/>
              <w:rPr>
                <w:rFonts w:ascii="Arial" w:hAnsi="Arial" w:cs="Arial"/>
                <w:iCs w:val="0"/>
                <w:sz w:val="24"/>
                <w:szCs w:val="24"/>
              </w:rPr>
            </w:pPr>
            <w:r>
              <w:rPr>
                <w:rFonts w:ascii="Arial" w:hAnsi="Arial" w:cs="Arial"/>
                <w:iCs w:val="0"/>
                <w:sz w:val="24"/>
                <w:szCs w:val="24"/>
              </w:rPr>
              <w:t>Decision Diary</w:t>
            </w:r>
          </w:p>
        </w:tc>
        <w:tc>
          <w:tcPr>
            <w:tcW w:w="1102" w:type="pct"/>
          </w:tcPr>
          <w:p w14:paraId="28C8EEF4" w14:textId="77777777" w:rsidR="001768DC" w:rsidRPr="008B359A" w:rsidRDefault="001768DC" w:rsidP="00D725B2">
            <w:pPr>
              <w:spacing w:before="120" w:after="100" w:afterAutospacing="1" w:line="240" w:lineRule="auto"/>
              <w:cnfStyle w:val="000000100000" w:firstRow="0" w:lastRow="0" w:firstColumn="0" w:lastColumn="0" w:oddVBand="0" w:evenVBand="0" w:oddHBand="1" w:evenHBand="0" w:firstRowFirstColumn="0" w:firstRowLastColumn="0" w:lastRowFirstColumn="0" w:lastRowLastColumn="0"/>
              <w:rPr>
                <w:rFonts w:ascii="Arial" w:hAnsi="Arial" w:cs="Arial"/>
                <w:iCs w:val="0"/>
                <w:sz w:val="24"/>
                <w:szCs w:val="24"/>
              </w:rPr>
            </w:pPr>
            <w:r w:rsidRPr="008B359A">
              <w:rPr>
                <w:rFonts w:ascii="Arial" w:hAnsi="Arial" w:cs="Arial"/>
                <w:iCs w:val="0"/>
                <w:sz w:val="24"/>
                <w:szCs w:val="24"/>
              </w:rPr>
              <w:t>0.608</w:t>
            </w:r>
          </w:p>
        </w:tc>
        <w:tc>
          <w:tcPr>
            <w:tcW w:w="990" w:type="pct"/>
          </w:tcPr>
          <w:p w14:paraId="3F83CD39" w14:textId="77777777" w:rsidR="001768DC" w:rsidRPr="008B359A" w:rsidRDefault="001768DC" w:rsidP="00D725B2">
            <w:pPr>
              <w:spacing w:before="120" w:after="100" w:afterAutospacing="1" w:line="240" w:lineRule="auto"/>
              <w:cnfStyle w:val="000000100000" w:firstRow="0" w:lastRow="0" w:firstColumn="0" w:lastColumn="0" w:oddVBand="0" w:evenVBand="0" w:oddHBand="1" w:evenHBand="0" w:firstRowFirstColumn="0" w:firstRowLastColumn="0" w:lastRowFirstColumn="0" w:lastRowLastColumn="0"/>
              <w:rPr>
                <w:rFonts w:ascii="Arial" w:hAnsi="Arial" w:cs="Arial"/>
                <w:iCs w:val="0"/>
                <w:sz w:val="24"/>
                <w:szCs w:val="24"/>
              </w:rPr>
            </w:pPr>
            <w:r w:rsidRPr="008B359A">
              <w:rPr>
                <w:rFonts w:ascii="Arial" w:hAnsi="Arial" w:cs="Arial"/>
                <w:iCs w:val="0"/>
                <w:sz w:val="24"/>
                <w:szCs w:val="24"/>
              </w:rPr>
              <w:t>0.609</w:t>
            </w:r>
          </w:p>
        </w:tc>
      </w:tr>
      <w:tr w:rsidR="00E87592" w:rsidRPr="008B359A" w14:paraId="1A29FC90" w14:textId="77777777" w:rsidTr="004D41DD">
        <w:tc>
          <w:tcPr>
            <w:cnfStyle w:val="001000000000" w:firstRow="0" w:lastRow="0" w:firstColumn="1" w:lastColumn="0" w:oddVBand="0" w:evenVBand="0" w:oddHBand="0" w:evenHBand="0" w:firstRowFirstColumn="0" w:firstRowLastColumn="0" w:lastRowFirstColumn="0" w:lastRowLastColumn="0"/>
            <w:tcW w:w="1245" w:type="pct"/>
            <w:vMerge/>
          </w:tcPr>
          <w:p w14:paraId="3F2F4E8C" w14:textId="77777777" w:rsidR="001768DC" w:rsidRPr="008B359A" w:rsidRDefault="001768DC" w:rsidP="00D725B2">
            <w:pPr>
              <w:spacing w:before="120" w:after="100" w:afterAutospacing="1" w:line="240" w:lineRule="auto"/>
              <w:rPr>
                <w:rFonts w:ascii="Arial" w:hAnsi="Arial" w:cs="Arial"/>
                <w:b w:val="0"/>
                <w:bCs w:val="0"/>
                <w:iCs w:val="0"/>
                <w:sz w:val="24"/>
                <w:szCs w:val="24"/>
              </w:rPr>
            </w:pPr>
          </w:p>
        </w:tc>
        <w:tc>
          <w:tcPr>
            <w:tcW w:w="1663" w:type="pct"/>
          </w:tcPr>
          <w:p w14:paraId="14E531E5" w14:textId="292EB49A" w:rsidR="001768DC" w:rsidRPr="008B359A" w:rsidRDefault="004D41DD" w:rsidP="00D725B2">
            <w:pPr>
              <w:spacing w:before="120" w:after="100" w:afterAutospacing="1" w:line="240" w:lineRule="auto"/>
              <w:cnfStyle w:val="000000000000" w:firstRow="0" w:lastRow="0" w:firstColumn="0" w:lastColumn="0" w:oddVBand="0" w:evenVBand="0" w:oddHBand="0" w:evenHBand="0" w:firstRowFirstColumn="0" w:firstRowLastColumn="0" w:lastRowFirstColumn="0" w:lastRowLastColumn="0"/>
              <w:rPr>
                <w:rFonts w:ascii="Arial" w:hAnsi="Arial" w:cs="Arial"/>
                <w:iCs w:val="0"/>
                <w:sz w:val="24"/>
                <w:szCs w:val="24"/>
              </w:rPr>
            </w:pPr>
            <w:r>
              <w:rPr>
                <w:rFonts w:ascii="Arial" w:hAnsi="Arial" w:cs="Arial"/>
                <w:iCs w:val="0"/>
                <w:sz w:val="24"/>
                <w:szCs w:val="24"/>
              </w:rPr>
              <w:t>Unstructured notes</w:t>
            </w:r>
          </w:p>
        </w:tc>
        <w:tc>
          <w:tcPr>
            <w:tcW w:w="1102" w:type="pct"/>
          </w:tcPr>
          <w:p w14:paraId="37B7DA49" w14:textId="77777777" w:rsidR="001768DC" w:rsidRPr="008B359A" w:rsidRDefault="001768DC" w:rsidP="00D725B2">
            <w:pPr>
              <w:spacing w:before="120" w:after="100" w:afterAutospacing="1" w:line="240" w:lineRule="auto"/>
              <w:cnfStyle w:val="000000000000" w:firstRow="0" w:lastRow="0" w:firstColumn="0" w:lastColumn="0" w:oddVBand="0" w:evenVBand="0" w:oddHBand="0" w:evenHBand="0" w:firstRowFirstColumn="0" w:firstRowLastColumn="0" w:lastRowFirstColumn="0" w:lastRowLastColumn="0"/>
              <w:rPr>
                <w:rFonts w:ascii="Arial" w:hAnsi="Arial" w:cs="Arial"/>
                <w:iCs w:val="0"/>
                <w:sz w:val="24"/>
                <w:szCs w:val="24"/>
              </w:rPr>
            </w:pPr>
            <w:r w:rsidRPr="008B359A">
              <w:rPr>
                <w:rFonts w:ascii="Arial" w:hAnsi="Arial" w:cs="Arial"/>
                <w:iCs w:val="0"/>
                <w:sz w:val="24"/>
                <w:szCs w:val="24"/>
              </w:rPr>
              <w:t>0.178</w:t>
            </w:r>
          </w:p>
        </w:tc>
        <w:tc>
          <w:tcPr>
            <w:tcW w:w="990" w:type="pct"/>
          </w:tcPr>
          <w:p w14:paraId="233DEFEC" w14:textId="77777777" w:rsidR="001768DC" w:rsidRPr="008B359A" w:rsidRDefault="001768DC" w:rsidP="00D725B2">
            <w:pPr>
              <w:spacing w:before="120" w:after="100" w:afterAutospacing="1" w:line="240" w:lineRule="auto"/>
              <w:cnfStyle w:val="000000000000" w:firstRow="0" w:lastRow="0" w:firstColumn="0" w:lastColumn="0" w:oddVBand="0" w:evenVBand="0" w:oddHBand="0" w:evenHBand="0" w:firstRowFirstColumn="0" w:firstRowLastColumn="0" w:lastRowFirstColumn="0" w:lastRowLastColumn="0"/>
              <w:rPr>
                <w:rFonts w:ascii="Arial" w:hAnsi="Arial" w:cs="Arial"/>
                <w:iCs w:val="0"/>
                <w:sz w:val="24"/>
                <w:szCs w:val="24"/>
              </w:rPr>
            </w:pPr>
            <w:r w:rsidRPr="008B359A">
              <w:rPr>
                <w:rFonts w:ascii="Arial" w:hAnsi="Arial" w:cs="Arial"/>
                <w:iCs w:val="0"/>
                <w:sz w:val="24"/>
                <w:szCs w:val="24"/>
              </w:rPr>
              <w:t>0.879</w:t>
            </w:r>
          </w:p>
        </w:tc>
      </w:tr>
      <w:tr w:rsidR="00E87592" w:rsidRPr="008B359A" w14:paraId="1642D398" w14:textId="77777777" w:rsidTr="004D41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5" w:type="pct"/>
            <w:vMerge/>
          </w:tcPr>
          <w:p w14:paraId="57CAF342" w14:textId="77777777" w:rsidR="001768DC" w:rsidRPr="008B359A" w:rsidRDefault="001768DC" w:rsidP="00D725B2">
            <w:pPr>
              <w:spacing w:before="120" w:after="100" w:afterAutospacing="1" w:line="240" w:lineRule="auto"/>
              <w:rPr>
                <w:rFonts w:ascii="Arial" w:hAnsi="Arial" w:cs="Arial"/>
                <w:b w:val="0"/>
                <w:bCs w:val="0"/>
                <w:iCs w:val="0"/>
                <w:sz w:val="24"/>
                <w:szCs w:val="24"/>
              </w:rPr>
            </w:pPr>
          </w:p>
        </w:tc>
        <w:tc>
          <w:tcPr>
            <w:tcW w:w="1663" w:type="pct"/>
          </w:tcPr>
          <w:p w14:paraId="1FE307BD" w14:textId="2DFE5757" w:rsidR="001768DC" w:rsidRPr="008B359A" w:rsidRDefault="004D41DD" w:rsidP="00D725B2">
            <w:pPr>
              <w:spacing w:before="120" w:after="100" w:afterAutospacing="1" w:line="240" w:lineRule="auto"/>
              <w:cnfStyle w:val="000000100000" w:firstRow="0" w:lastRow="0" w:firstColumn="0" w:lastColumn="0" w:oddVBand="0" w:evenVBand="0" w:oddHBand="1" w:evenHBand="0" w:firstRowFirstColumn="0" w:firstRowLastColumn="0" w:lastRowFirstColumn="0" w:lastRowLastColumn="0"/>
              <w:rPr>
                <w:rFonts w:ascii="Arial" w:hAnsi="Arial" w:cs="Arial"/>
                <w:iCs w:val="0"/>
                <w:sz w:val="24"/>
                <w:szCs w:val="24"/>
              </w:rPr>
            </w:pPr>
            <w:r>
              <w:rPr>
                <w:rFonts w:ascii="Arial" w:hAnsi="Arial" w:cs="Arial"/>
                <w:iCs w:val="0"/>
                <w:sz w:val="24"/>
                <w:szCs w:val="24"/>
              </w:rPr>
              <w:t>Standard case study</w:t>
            </w:r>
          </w:p>
        </w:tc>
        <w:tc>
          <w:tcPr>
            <w:tcW w:w="1102" w:type="pct"/>
          </w:tcPr>
          <w:p w14:paraId="63ACB28D" w14:textId="77777777" w:rsidR="001768DC" w:rsidRPr="008B359A" w:rsidRDefault="001768DC" w:rsidP="00D725B2">
            <w:pPr>
              <w:spacing w:before="120" w:after="100" w:afterAutospacing="1" w:line="240" w:lineRule="auto"/>
              <w:cnfStyle w:val="000000100000" w:firstRow="0" w:lastRow="0" w:firstColumn="0" w:lastColumn="0" w:oddVBand="0" w:evenVBand="0" w:oddHBand="1" w:evenHBand="0" w:firstRowFirstColumn="0" w:firstRowLastColumn="0" w:lastRowFirstColumn="0" w:lastRowLastColumn="0"/>
              <w:rPr>
                <w:rFonts w:ascii="Arial" w:hAnsi="Arial" w:cs="Arial"/>
                <w:iCs w:val="0"/>
                <w:sz w:val="24"/>
                <w:szCs w:val="24"/>
              </w:rPr>
            </w:pPr>
            <w:r w:rsidRPr="008B359A">
              <w:rPr>
                <w:rFonts w:ascii="Arial" w:hAnsi="Arial" w:cs="Arial"/>
                <w:iCs w:val="0"/>
                <w:sz w:val="24"/>
                <w:szCs w:val="24"/>
              </w:rPr>
              <w:t>0.380</w:t>
            </w:r>
          </w:p>
        </w:tc>
        <w:tc>
          <w:tcPr>
            <w:tcW w:w="990" w:type="pct"/>
          </w:tcPr>
          <w:p w14:paraId="734AC3B4" w14:textId="77777777" w:rsidR="001768DC" w:rsidRPr="008B359A" w:rsidRDefault="001768DC" w:rsidP="00D725B2">
            <w:pPr>
              <w:spacing w:before="120" w:after="100" w:afterAutospacing="1" w:line="240" w:lineRule="auto"/>
              <w:cnfStyle w:val="000000100000" w:firstRow="0" w:lastRow="0" w:firstColumn="0" w:lastColumn="0" w:oddVBand="0" w:evenVBand="0" w:oddHBand="1" w:evenHBand="0" w:firstRowFirstColumn="0" w:firstRowLastColumn="0" w:lastRowFirstColumn="0" w:lastRowLastColumn="0"/>
              <w:rPr>
                <w:rFonts w:ascii="Arial" w:hAnsi="Arial" w:cs="Arial"/>
                <w:iCs w:val="0"/>
                <w:sz w:val="24"/>
                <w:szCs w:val="24"/>
              </w:rPr>
            </w:pPr>
            <w:r w:rsidRPr="008B359A">
              <w:rPr>
                <w:rFonts w:ascii="Arial" w:hAnsi="Arial" w:cs="Arial"/>
                <w:iCs w:val="0"/>
                <w:sz w:val="24"/>
                <w:szCs w:val="24"/>
              </w:rPr>
              <w:t>0.478</w:t>
            </w:r>
          </w:p>
        </w:tc>
      </w:tr>
      <w:tr w:rsidR="00E87592" w:rsidRPr="008B359A" w14:paraId="4054DD4C" w14:textId="77777777" w:rsidTr="004D41DD">
        <w:tc>
          <w:tcPr>
            <w:cnfStyle w:val="001000000000" w:firstRow="0" w:lastRow="0" w:firstColumn="1" w:lastColumn="0" w:oddVBand="0" w:evenVBand="0" w:oddHBand="0" w:evenHBand="0" w:firstRowFirstColumn="0" w:firstRowLastColumn="0" w:lastRowFirstColumn="0" w:lastRowLastColumn="0"/>
            <w:tcW w:w="1245" w:type="pct"/>
            <w:vMerge w:val="restart"/>
          </w:tcPr>
          <w:p w14:paraId="1CBC23CC" w14:textId="5C4C503F" w:rsidR="001768DC" w:rsidRPr="008B359A" w:rsidRDefault="001768DC" w:rsidP="00D725B2">
            <w:pPr>
              <w:spacing w:before="120" w:after="100" w:afterAutospacing="1" w:line="240" w:lineRule="auto"/>
              <w:rPr>
                <w:rFonts w:ascii="Arial" w:hAnsi="Arial" w:cs="Arial"/>
                <w:b w:val="0"/>
                <w:bCs w:val="0"/>
                <w:iCs w:val="0"/>
                <w:sz w:val="24"/>
                <w:szCs w:val="24"/>
              </w:rPr>
            </w:pPr>
            <w:r w:rsidRPr="008B359A">
              <w:rPr>
                <w:rFonts w:ascii="Arial" w:hAnsi="Arial" w:cs="Arial"/>
                <w:b w:val="0"/>
                <w:bCs w:val="0"/>
                <w:iCs w:val="0"/>
                <w:sz w:val="24"/>
                <w:szCs w:val="24"/>
              </w:rPr>
              <w:t xml:space="preserve">Case Type </w:t>
            </w:r>
            <w:r w:rsidR="00E87592" w:rsidRPr="008B359A">
              <w:rPr>
                <w:rFonts w:ascii="Arial" w:hAnsi="Arial" w:cs="Arial"/>
                <w:b w:val="0"/>
                <w:bCs w:val="0"/>
                <w:iCs w:val="0"/>
                <w:sz w:val="24"/>
                <w:szCs w:val="24"/>
              </w:rPr>
              <w:t>(Routine/ Emergency/ Medical/ Surgical)</w:t>
            </w:r>
          </w:p>
        </w:tc>
        <w:tc>
          <w:tcPr>
            <w:tcW w:w="1663" w:type="pct"/>
          </w:tcPr>
          <w:p w14:paraId="78B5F7B6" w14:textId="2A545D99" w:rsidR="001768DC" w:rsidRPr="008B359A" w:rsidRDefault="004D41DD" w:rsidP="00D725B2">
            <w:pPr>
              <w:spacing w:before="120" w:after="100" w:afterAutospacing="1" w:line="240" w:lineRule="auto"/>
              <w:cnfStyle w:val="000000000000" w:firstRow="0" w:lastRow="0" w:firstColumn="0" w:lastColumn="0" w:oddVBand="0" w:evenVBand="0" w:oddHBand="0" w:evenHBand="0" w:firstRowFirstColumn="0" w:firstRowLastColumn="0" w:lastRowFirstColumn="0" w:lastRowLastColumn="0"/>
              <w:rPr>
                <w:rFonts w:ascii="Arial" w:hAnsi="Arial" w:cs="Arial"/>
                <w:iCs w:val="0"/>
                <w:sz w:val="24"/>
                <w:szCs w:val="24"/>
              </w:rPr>
            </w:pPr>
            <w:r>
              <w:rPr>
                <w:rFonts w:ascii="Arial" w:hAnsi="Arial" w:cs="Arial"/>
                <w:iCs w:val="0"/>
                <w:sz w:val="24"/>
                <w:szCs w:val="24"/>
              </w:rPr>
              <w:t>Decision Diary</w:t>
            </w:r>
          </w:p>
        </w:tc>
        <w:tc>
          <w:tcPr>
            <w:tcW w:w="1102" w:type="pct"/>
          </w:tcPr>
          <w:p w14:paraId="77ED0091" w14:textId="77777777" w:rsidR="001768DC" w:rsidRPr="008B359A" w:rsidRDefault="001768DC" w:rsidP="00D725B2">
            <w:pPr>
              <w:spacing w:before="120" w:after="100" w:afterAutospacing="1" w:line="240" w:lineRule="auto"/>
              <w:cnfStyle w:val="000000000000" w:firstRow="0" w:lastRow="0" w:firstColumn="0" w:lastColumn="0" w:oddVBand="0" w:evenVBand="0" w:oddHBand="0" w:evenHBand="0" w:firstRowFirstColumn="0" w:firstRowLastColumn="0" w:lastRowFirstColumn="0" w:lastRowLastColumn="0"/>
              <w:rPr>
                <w:rFonts w:ascii="Arial" w:hAnsi="Arial" w:cs="Arial"/>
                <w:iCs w:val="0"/>
                <w:sz w:val="24"/>
                <w:szCs w:val="24"/>
              </w:rPr>
            </w:pPr>
            <w:r w:rsidRPr="008B359A">
              <w:rPr>
                <w:rFonts w:ascii="Arial" w:hAnsi="Arial" w:cs="Arial"/>
                <w:iCs w:val="0"/>
                <w:sz w:val="24"/>
                <w:szCs w:val="24"/>
              </w:rPr>
              <w:t>0.936</w:t>
            </w:r>
          </w:p>
        </w:tc>
        <w:tc>
          <w:tcPr>
            <w:tcW w:w="990" w:type="pct"/>
          </w:tcPr>
          <w:p w14:paraId="5A3BB9D4" w14:textId="77777777" w:rsidR="001768DC" w:rsidRPr="008B359A" w:rsidRDefault="001768DC" w:rsidP="00D725B2">
            <w:pPr>
              <w:spacing w:before="120" w:after="100" w:afterAutospacing="1" w:line="240" w:lineRule="auto"/>
              <w:cnfStyle w:val="000000000000" w:firstRow="0" w:lastRow="0" w:firstColumn="0" w:lastColumn="0" w:oddVBand="0" w:evenVBand="0" w:oddHBand="0" w:evenHBand="0" w:firstRowFirstColumn="0" w:firstRowLastColumn="0" w:lastRowFirstColumn="0" w:lastRowLastColumn="0"/>
              <w:rPr>
                <w:rFonts w:ascii="Arial" w:hAnsi="Arial" w:cs="Arial"/>
                <w:iCs w:val="0"/>
                <w:sz w:val="24"/>
                <w:szCs w:val="24"/>
              </w:rPr>
            </w:pPr>
            <w:r w:rsidRPr="008B359A">
              <w:rPr>
                <w:rFonts w:ascii="Arial" w:hAnsi="Arial" w:cs="Arial"/>
                <w:iCs w:val="0"/>
                <w:sz w:val="24"/>
                <w:szCs w:val="24"/>
              </w:rPr>
              <w:t>0.496</w:t>
            </w:r>
          </w:p>
        </w:tc>
      </w:tr>
      <w:tr w:rsidR="00E87592" w:rsidRPr="008B359A" w14:paraId="73A7D8F6" w14:textId="77777777" w:rsidTr="004D41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5" w:type="pct"/>
            <w:vMerge/>
          </w:tcPr>
          <w:p w14:paraId="12BA79F0" w14:textId="77777777" w:rsidR="001768DC" w:rsidRPr="008B359A" w:rsidRDefault="001768DC" w:rsidP="00D725B2">
            <w:pPr>
              <w:spacing w:before="120" w:after="100" w:afterAutospacing="1" w:line="240" w:lineRule="auto"/>
              <w:rPr>
                <w:rFonts w:ascii="Arial" w:hAnsi="Arial" w:cs="Arial"/>
                <w:b w:val="0"/>
                <w:bCs w:val="0"/>
                <w:iCs w:val="0"/>
                <w:sz w:val="24"/>
                <w:szCs w:val="24"/>
              </w:rPr>
            </w:pPr>
          </w:p>
        </w:tc>
        <w:tc>
          <w:tcPr>
            <w:tcW w:w="1663" w:type="pct"/>
          </w:tcPr>
          <w:p w14:paraId="16E4B10D" w14:textId="65E1C120" w:rsidR="001768DC" w:rsidRPr="008B359A" w:rsidRDefault="004D41DD" w:rsidP="00D725B2">
            <w:pPr>
              <w:spacing w:before="120" w:after="100" w:afterAutospacing="1" w:line="240" w:lineRule="auto"/>
              <w:cnfStyle w:val="000000100000" w:firstRow="0" w:lastRow="0" w:firstColumn="0" w:lastColumn="0" w:oddVBand="0" w:evenVBand="0" w:oddHBand="1" w:evenHBand="0" w:firstRowFirstColumn="0" w:firstRowLastColumn="0" w:lastRowFirstColumn="0" w:lastRowLastColumn="0"/>
              <w:rPr>
                <w:rFonts w:ascii="Arial" w:hAnsi="Arial" w:cs="Arial"/>
                <w:iCs w:val="0"/>
                <w:sz w:val="24"/>
                <w:szCs w:val="24"/>
              </w:rPr>
            </w:pPr>
            <w:r>
              <w:rPr>
                <w:rFonts w:ascii="Arial" w:hAnsi="Arial" w:cs="Arial"/>
                <w:iCs w:val="0"/>
                <w:sz w:val="24"/>
                <w:szCs w:val="24"/>
              </w:rPr>
              <w:t>Unstructured notes</w:t>
            </w:r>
          </w:p>
        </w:tc>
        <w:tc>
          <w:tcPr>
            <w:tcW w:w="1102" w:type="pct"/>
          </w:tcPr>
          <w:p w14:paraId="5E68F06D" w14:textId="77777777" w:rsidR="001768DC" w:rsidRPr="008B359A" w:rsidRDefault="001768DC" w:rsidP="00D725B2">
            <w:pPr>
              <w:spacing w:before="120" w:after="100" w:afterAutospacing="1" w:line="240" w:lineRule="auto"/>
              <w:cnfStyle w:val="000000100000" w:firstRow="0" w:lastRow="0" w:firstColumn="0" w:lastColumn="0" w:oddVBand="0" w:evenVBand="0" w:oddHBand="1" w:evenHBand="0" w:firstRowFirstColumn="0" w:firstRowLastColumn="0" w:lastRowFirstColumn="0" w:lastRowLastColumn="0"/>
              <w:rPr>
                <w:rFonts w:ascii="Arial" w:hAnsi="Arial" w:cs="Arial"/>
                <w:iCs w:val="0"/>
                <w:sz w:val="24"/>
                <w:szCs w:val="24"/>
              </w:rPr>
            </w:pPr>
            <w:r w:rsidRPr="008B359A">
              <w:rPr>
                <w:rFonts w:ascii="Arial" w:hAnsi="Arial" w:cs="Arial"/>
                <w:iCs w:val="0"/>
                <w:sz w:val="24"/>
                <w:szCs w:val="24"/>
              </w:rPr>
              <w:t>0.184</w:t>
            </w:r>
          </w:p>
        </w:tc>
        <w:tc>
          <w:tcPr>
            <w:tcW w:w="990" w:type="pct"/>
          </w:tcPr>
          <w:p w14:paraId="7ADC61FB" w14:textId="77777777" w:rsidR="001768DC" w:rsidRPr="008B359A" w:rsidRDefault="001768DC" w:rsidP="00D725B2">
            <w:pPr>
              <w:spacing w:before="120" w:after="100" w:afterAutospacing="1" w:line="240" w:lineRule="auto"/>
              <w:cnfStyle w:val="000000100000" w:firstRow="0" w:lastRow="0" w:firstColumn="0" w:lastColumn="0" w:oddVBand="0" w:evenVBand="0" w:oddHBand="1" w:evenHBand="0" w:firstRowFirstColumn="0" w:firstRowLastColumn="0" w:lastRowFirstColumn="0" w:lastRowLastColumn="0"/>
              <w:rPr>
                <w:rFonts w:ascii="Arial" w:hAnsi="Arial" w:cs="Arial"/>
                <w:iCs w:val="0"/>
                <w:sz w:val="24"/>
                <w:szCs w:val="24"/>
              </w:rPr>
            </w:pPr>
            <w:r w:rsidRPr="008B359A">
              <w:rPr>
                <w:rFonts w:ascii="Arial" w:hAnsi="Arial" w:cs="Arial"/>
                <w:iCs w:val="0"/>
                <w:sz w:val="24"/>
                <w:szCs w:val="24"/>
              </w:rPr>
              <w:t>0.520</w:t>
            </w:r>
          </w:p>
        </w:tc>
      </w:tr>
      <w:tr w:rsidR="00E87592" w:rsidRPr="008B359A" w14:paraId="6A212FA3" w14:textId="77777777" w:rsidTr="004D41DD">
        <w:trPr>
          <w:trHeight w:val="251"/>
        </w:trPr>
        <w:tc>
          <w:tcPr>
            <w:cnfStyle w:val="001000000000" w:firstRow="0" w:lastRow="0" w:firstColumn="1" w:lastColumn="0" w:oddVBand="0" w:evenVBand="0" w:oddHBand="0" w:evenHBand="0" w:firstRowFirstColumn="0" w:firstRowLastColumn="0" w:lastRowFirstColumn="0" w:lastRowLastColumn="0"/>
            <w:tcW w:w="1245" w:type="pct"/>
            <w:vMerge/>
          </w:tcPr>
          <w:p w14:paraId="093B3C19" w14:textId="77777777" w:rsidR="001768DC" w:rsidRPr="008B359A" w:rsidRDefault="001768DC" w:rsidP="00D725B2">
            <w:pPr>
              <w:spacing w:before="120" w:after="100" w:afterAutospacing="1" w:line="240" w:lineRule="auto"/>
              <w:rPr>
                <w:rFonts w:ascii="Arial" w:hAnsi="Arial" w:cs="Arial"/>
                <w:b w:val="0"/>
                <w:bCs w:val="0"/>
                <w:iCs w:val="0"/>
                <w:sz w:val="24"/>
                <w:szCs w:val="24"/>
              </w:rPr>
            </w:pPr>
          </w:p>
        </w:tc>
        <w:tc>
          <w:tcPr>
            <w:tcW w:w="1663" w:type="pct"/>
          </w:tcPr>
          <w:p w14:paraId="407D3FC2" w14:textId="156A0101" w:rsidR="001768DC" w:rsidRPr="008B359A" w:rsidRDefault="004D41DD" w:rsidP="00D725B2">
            <w:pPr>
              <w:spacing w:before="120" w:after="100" w:afterAutospacing="1" w:line="240" w:lineRule="auto"/>
              <w:cnfStyle w:val="000000000000" w:firstRow="0" w:lastRow="0" w:firstColumn="0" w:lastColumn="0" w:oddVBand="0" w:evenVBand="0" w:oddHBand="0" w:evenHBand="0" w:firstRowFirstColumn="0" w:firstRowLastColumn="0" w:lastRowFirstColumn="0" w:lastRowLastColumn="0"/>
              <w:rPr>
                <w:rFonts w:ascii="Arial" w:hAnsi="Arial" w:cs="Arial"/>
                <w:iCs w:val="0"/>
                <w:sz w:val="24"/>
                <w:szCs w:val="24"/>
              </w:rPr>
            </w:pPr>
            <w:r>
              <w:rPr>
                <w:rFonts w:ascii="Arial" w:hAnsi="Arial" w:cs="Arial"/>
                <w:iCs w:val="0"/>
                <w:sz w:val="24"/>
                <w:szCs w:val="24"/>
              </w:rPr>
              <w:t>Standard case study</w:t>
            </w:r>
          </w:p>
        </w:tc>
        <w:tc>
          <w:tcPr>
            <w:tcW w:w="1102" w:type="pct"/>
          </w:tcPr>
          <w:p w14:paraId="2003C38E" w14:textId="77777777" w:rsidR="001768DC" w:rsidRPr="008B359A" w:rsidRDefault="001768DC" w:rsidP="00D725B2">
            <w:pPr>
              <w:spacing w:before="120" w:after="100" w:afterAutospacing="1" w:line="240" w:lineRule="auto"/>
              <w:cnfStyle w:val="000000000000" w:firstRow="0" w:lastRow="0" w:firstColumn="0" w:lastColumn="0" w:oddVBand="0" w:evenVBand="0" w:oddHBand="0" w:evenHBand="0" w:firstRowFirstColumn="0" w:firstRowLastColumn="0" w:lastRowFirstColumn="0" w:lastRowLastColumn="0"/>
              <w:rPr>
                <w:rFonts w:ascii="Arial" w:hAnsi="Arial" w:cs="Arial"/>
                <w:iCs w:val="0"/>
                <w:sz w:val="24"/>
                <w:szCs w:val="24"/>
              </w:rPr>
            </w:pPr>
            <w:r w:rsidRPr="008B359A">
              <w:rPr>
                <w:rFonts w:ascii="Arial" w:hAnsi="Arial" w:cs="Arial"/>
                <w:iCs w:val="0"/>
                <w:sz w:val="24"/>
                <w:szCs w:val="24"/>
              </w:rPr>
              <w:t>0.922</w:t>
            </w:r>
          </w:p>
        </w:tc>
        <w:tc>
          <w:tcPr>
            <w:tcW w:w="990" w:type="pct"/>
          </w:tcPr>
          <w:p w14:paraId="4B71DC67" w14:textId="77777777" w:rsidR="001768DC" w:rsidRPr="008B359A" w:rsidRDefault="001768DC" w:rsidP="00D725B2">
            <w:pPr>
              <w:spacing w:before="120" w:after="100" w:afterAutospacing="1" w:line="240" w:lineRule="auto"/>
              <w:cnfStyle w:val="000000000000" w:firstRow="0" w:lastRow="0" w:firstColumn="0" w:lastColumn="0" w:oddVBand="0" w:evenVBand="0" w:oddHBand="0" w:evenHBand="0" w:firstRowFirstColumn="0" w:firstRowLastColumn="0" w:lastRowFirstColumn="0" w:lastRowLastColumn="0"/>
              <w:rPr>
                <w:rFonts w:ascii="Arial" w:hAnsi="Arial" w:cs="Arial"/>
                <w:iCs w:val="0"/>
                <w:sz w:val="24"/>
                <w:szCs w:val="24"/>
              </w:rPr>
            </w:pPr>
            <w:r w:rsidRPr="008B359A">
              <w:rPr>
                <w:rFonts w:ascii="Arial" w:hAnsi="Arial" w:cs="Arial"/>
                <w:iCs w:val="0"/>
                <w:sz w:val="24"/>
                <w:szCs w:val="24"/>
              </w:rPr>
              <w:t>0.847</w:t>
            </w:r>
          </w:p>
        </w:tc>
      </w:tr>
    </w:tbl>
    <w:p w14:paraId="6670F014" w14:textId="15B725B1" w:rsidR="004D41DD" w:rsidRDefault="00F27719" w:rsidP="00D725B2">
      <w:pPr>
        <w:pStyle w:val="NoSpacing"/>
        <w:spacing w:before="120" w:after="100" w:afterAutospacing="1"/>
        <w:rPr>
          <w:rFonts w:ascii="Arial" w:hAnsi="Arial" w:cs="Arial"/>
          <w:i/>
          <w:iCs w:val="0"/>
          <w:sz w:val="24"/>
          <w:szCs w:val="24"/>
        </w:rPr>
      </w:pPr>
      <w:r>
        <w:rPr>
          <w:rFonts w:ascii="Arial" w:hAnsi="Arial" w:cs="Arial"/>
          <w:i/>
          <w:iCs w:val="0"/>
          <w:sz w:val="24"/>
          <w:szCs w:val="24"/>
        </w:rPr>
        <w:t>Table 4</w:t>
      </w:r>
      <w:r w:rsidR="002928E1" w:rsidRPr="008B359A">
        <w:rPr>
          <w:rFonts w:ascii="Arial" w:hAnsi="Arial" w:cs="Arial"/>
          <w:i/>
          <w:iCs w:val="0"/>
          <w:sz w:val="24"/>
          <w:szCs w:val="24"/>
        </w:rPr>
        <w:t xml:space="preserve"> statistical test </w:t>
      </w:r>
      <w:r w:rsidR="00E87592" w:rsidRPr="008B359A">
        <w:rPr>
          <w:rFonts w:ascii="Arial" w:hAnsi="Arial" w:cs="Arial"/>
          <w:i/>
          <w:iCs w:val="0"/>
          <w:sz w:val="24"/>
          <w:szCs w:val="24"/>
        </w:rPr>
        <w:t xml:space="preserve">results determining difference in </w:t>
      </w:r>
      <w:r w:rsidR="002928E1" w:rsidRPr="008B359A">
        <w:rPr>
          <w:rFonts w:ascii="Arial" w:hAnsi="Arial" w:cs="Arial"/>
          <w:i/>
          <w:iCs w:val="0"/>
          <w:sz w:val="24"/>
          <w:szCs w:val="24"/>
        </w:rPr>
        <w:t xml:space="preserve">number of </w:t>
      </w:r>
      <w:r w:rsidR="00E87592" w:rsidRPr="008B359A">
        <w:rPr>
          <w:rFonts w:ascii="Arial" w:hAnsi="Arial" w:cs="Arial"/>
          <w:i/>
          <w:iCs w:val="0"/>
          <w:sz w:val="24"/>
          <w:szCs w:val="24"/>
        </w:rPr>
        <w:t>observation</w:t>
      </w:r>
      <w:r w:rsidR="002928E1" w:rsidRPr="008B359A">
        <w:rPr>
          <w:rFonts w:ascii="Arial" w:hAnsi="Arial" w:cs="Arial"/>
          <w:i/>
          <w:iCs w:val="0"/>
          <w:sz w:val="24"/>
          <w:szCs w:val="24"/>
        </w:rPr>
        <w:t xml:space="preserve">s between different variables (gender, year group, species and case type) in each form </w:t>
      </w:r>
      <w:r w:rsidR="00E87592" w:rsidRPr="008B359A">
        <w:rPr>
          <w:rFonts w:ascii="Arial" w:hAnsi="Arial" w:cs="Arial"/>
          <w:i/>
          <w:iCs w:val="0"/>
          <w:sz w:val="24"/>
          <w:szCs w:val="24"/>
        </w:rPr>
        <w:t xml:space="preserve">and </w:t>
      </w:r>
      <w:r w:rsidR="002928E1" w:rsidRPr="008B359A">
        <w:rPr>
          <w:rFonts w:ascii="Arial" w:hAnsi="Arial" w:cs="Arial"/>
          <w:i/>
          <w:iCs w:val="0"/>
          <w:sz w:val="24"/>
          <w:szCs w:val="24"/>
        </w:rPr>
        <w:t xml:space="preserve">statistical difference in number of reflective comments identified </w:t>
      </w:r>
      <w:r w:rsidR="00E87592" w:rsidRPr="008B359A">
        <w:rPr>
          <w:rFonts w:ascii="Arial" w:hAnsi="Arial" w:cs="Arial"/>
          <w:i/>
          <w:iCs w:val="0"/>
          <w:sz w:val="24"/>
          <w:szCs w:val="24"/>
        </w:rPr>
        <w:t>between di</w:t>
      </w:r>
      <w:r w:rsidR="008C030E" w:rsidRPr="008B359A">
        <w:rPr>
          <w:rFonts w:ascii="Arial" w:hAnsi="Arial" w:cs="Arial"/>
          <w:i/>
          <w:iCs w:val="0"/>
          <w:sz w:val="24"/>
          <w:szCs w:val="24"/>
        </w:rPr>
        <w:t xml:space="preserve">fferent variables in each form. </w:t>
      </w:r>
      <w:r w:rsidR="00E87592" w:rsidRPr="008B359A">
        <w:rPr>
          <w:rFonts w:ascii="Arial" w:hAnsi="Arial" w:cs="Arial"/>
          <w:i/>
          <w:iCs w:val="0"/>
          <w:sz w:val="24"/>
          <w:szCs w:val="24"/>
        </w:rPr>
        <w:t xml:space="preserve"> *p value </w:t>
      </w:r>
      <w:r w:rsidR="002928E1" w:rsidRPr="008B359A">
        <w:rPr>
          <w:rFonts w:ascii="Arial" w:hAnsi="Arial" w:cs="Arial"/>
          <w:i/>
          <w:iCs w:val="0"/>
          <w:sz w:val="24"/>
          <w:szCs w:val="24"/>
        </w:rPr>
        <w:t>≤</w:t>
      </w:r>
      <w:r w:rsidR="00E87592" w:rsidRPr="008B359A">
        <w:rPr>
          <w:rFonts w:ascii="Arial" w:hAnsi="Arial" w:cs="Arial"/>
          <w:i/>
          <w:iCs w:val="0"/>
          <w:sz w:val="24"/>
          <w:szCs w:val="24"/>
        </w:rPr>
        <w:t xml:space="preserve">0.05, conclude that a </w:t>
      </w:r>
      <w:r w:rsidR="00471A1B">
        <w:rPr>
          <w:rFonts w:ascii="Arial" w:hAnsi="Arial" w:cs="Arial"/>
          <w:i/>
          <w:iCs w:val="0"/>
          <w:sz w:val="24"/>
          <w:szCs w:val="24"/>
        </w:rPr>
        <w:t>significant different does exist</w:t>
      </w:r>
      <w:r w:rsidR="004D41DD">
        <w:rPr>
          <w:rFonts w:ascii="Arial" w:hAnsi="Arial" w:cs="Arial"/>
          <w:i/>
          <w:iCs w:val="0"/>
          <w:sz w:val="24"/>
          <w:szCs w:val="24"/>
        </w:rPr>
        <w:t>.</w:t>
      </w:r>
    </w:p>
    <w:p w14:paraId="7013097D" w14:textId="2ACF1BF9" w:rsidR="00D725B2" w:rsidRPr="008B359A" w:rsidRDefault="00F9761C" w:rsidP="00D725B2">
      <w:pPr>
        <w:pStyle w:val="NoSpacing"/>
        <w:spacing w:before="120" w:after="100" w:afterAutospacing="1"/>
        <w:rPr>
          <w:rFonts w:ascii="Arial" w:hAnsi="Arial" w:cs="Arial"/>
          <w:b/>
          <w:iCs w:val="0"/>
          <w:sz w:val="24"/>
          <w:szCs w:val="24"/>
        </w:rPr>
      </w:pPr>
      <w:r w:rsidRPr="008B359A">
        <w:rPr>
          <w:rFonts w:ascii="Arial" w:hAnsi="Arial" w:cs="Arial"/>
          <w:b/>
          <w:iCs w:val="0"/>
          <w:sz w:val="24"/>
          <w:szCs w:val="24"/>
        </w:rPr>
        <w:t xml:space="preserve">Discussion </w:t>
      </w:r>
    </w:p>
    <w:p w14:paraId="28C7EDD0" w14:textId="2C58DF4C" w:rsidR="00F9761C" w:rsidRPr="008B359A" w:rsidRDefault="00F27719" w:rsidP="00D725B2">
      <w:pPr>
        <w:pStyle w:val="NoSpacing"/>
        <w:spacing w:before="120" w:after="100" w:afterAutospacing="1"/>
        <w:rPr>
          <w:rFonts w:ascii="Arial" w:hAnsi="Arial" w:cs="Arial"/>
          <w:iCs w:val="0"/>
          <w:color w:val="000000" w:themeColor="text1"/>
          <w:sz w:val="24"/>
          <w:szCs w:val="24"/>
        </w:rPr>
      </w:pPr>
      <w:r>
        <w:rPr>
          <w:rFonts w:ascii="Arial" w:hAnsi="Arial" w:cs="Arial"/>
          <w:iCs w:val="0"/>
          <w:color w:val="000000" w:themeColor="text1"/>
          <w:sz w:val="24"/>
          <w:szCs w:val="24"/>
        </w:rPr>
        <w:t>C</w:t>
      </w:r>
      <w:r w:rsidR="00F9761C" w:rsidRPr="008B359A">
        <w:rPr>
          <w:rFonts w:ascii="Arial" w:hAnsi="Arial" w:cs="Arial"/>
          <w:iCs w:val="0"/>
          <w:color w:val="000000" w:themeColor="text1"/>
          <w:sz w:val="24"/>
          <w:szCs w:val="24"/>
        </w:rPr>
        <w:t xml:space="preserve">omparison of the decision diary to existing formats of documenting during CEMS showed the students found the diary improved </w:t>
      </w:r>
      <w:r>
        <w:rPr>
          <w:rFonts w:ascii="Arial" w:hAnsi="Arial" w:cs="Arial"/>
          <w:iCs w:val="0"/>
          <w:color w:val="000000" w:themeColor="text1"/>
          <w:sz w:val="24"/>
          <w:szCs w:val="24"/>
        </w:rPr>
        <w:t>insight into the</w:t>
      </w:r>
      <w:r w:rsidR="00F9761C" w:rsidRPr="008B359A">
        <w:rPr>
          <w:rFonts w:ascii="Arial" w:hAnsi="Arial" w:cs="Arial"/>
          <w:iCs w:val="0"/>
          <w:color w:val="000000" w:themeColor="text1"/>
          <w:sz w:val="24"/>
          <w:szCs w:val="24"/>
        </w:rPr>
        <w:t xml:space="preserve"> decision-making </w:t>
      </w:r>
      <w:r>
        <w:rPr>
          <w:rFonts w:ascii="Arial" w:hAnsi="Arial" w:cs="Arial"/>
          <w:iCs w:val="0"/>
          <w:color w:val="000000" w:themeColor="text1"/>
          <w:sz w:val="24"/>
          <w:szCs w:val="24"/>
        </w:rPr>
        <w:t xml:space="preserve">process </w:t>
      </w:r>
      <w:r w:rsidR="00F9761C" w:rsidRPr="008B359A">
        <w:rPr>
          <w:rFonts w:ascii="Arial" w:hAnsi="Arial" w:cs="Arial"/>
          <w:iCs w:val="0"/>
          <w:color w:val="000000" w:themeColor="text1"/>
          <w:sz w:val="24"/>
          <w:szCs w:val="24"/>
        </w:rPr>
        <w:t>and increased reflective comments</w:t>
      </w:r>
      <w:r w:rsidR="0099161D" w:rsidRPr="008B359A">
        <w:rPr>
          <w:rFonts w:ascii="Arial" w:hAnsi="Arial" w:cs="Arial"/>
          <w:iCs w:val="0"/>
          <w:color w:val="000000" w:themeColor="text1"/>
          <w:sz w:val="24"/>
          <w:szCs w:val="24"/>
        </w:rPr>
        <w:t>, making it a more accessible skill</w:t>
      </w:r>
      <w:r w:rsidR="00F9761C" w:rsidRPr="008B359A">
        <w:rPr>
          <w:rFonts w:ascii="Arial" w:hAnsi="Arial" w:cs="Arial"/>
          <w:iCs w:val="0"/>
          <w:color w:val="000000" w:themeColor="text1"/>
          <w:sz w:val="24"/>
          <w:szCs w:val="24"/>
        </w:rPr>
        <w:t>.</w:t>
      </w:r>
      <w:r w:rsidR="0099161D" w:rsidRPr="008B359A">
        <w:rPr>
          <w:rFonts w:ascii="Arial" w:hAnsi="Arial" w:cs="Arial"/>
          <w:iCs w:val="0"/>
          <w:color w:val="000000" w:themeColor="text1"/>
          <w:sz w:val="24"/>
          <w:szCs w:val="24"/>
        </w:rPr>
        <w:t xml:space="preserve"> </w:t>
      </w:r>
    </w:p>
    <w:p w14:paraId="37254430" w14:textId="62A29816" w:rsidR="00381422" w:rsidRDefault="00D560DA" w:rsidP="00D725B2">
      <w:pPr>
        <w:pStyle w:val="NoSpacing"/>
        <w:spacing w:before="120" w:after="100" w:afterAutospacing="1"/>
        <w:rPr>
          <w:rFonts w:ascii="Arial" w:hAnsi="Arial" w:cs="Arial"/>
          <w:iCs w:val="0"/>
          <w:color w:val="000000" w:themeColor="text1"/>
          <w:sz w:val="24"/>
          <w:szCs w:val="24"/>
        </w:rPr>
      </w:pPr>
      <w:r w:rsidRPr="008B359A">
        <w:rPr>
          <w:rFonts w:ascii="Arial" w:hAnsi="Arial" w:cs="Arial"/>
          <w:iCs w:val="0"/>
          <w:sz w:val="24"/>
          <w:szCs w:val="24"/>
        </w:rPr>
        <w:t xml:space="preserve">The decision diaries had the highest frequency of observations and reflective comments </w:t>
      </w:r>
      <w:r w:rsidR="00F57B10" w:rsidRPr="008B359A">
        <w:rPr>
          <w:rFonts w:ascii="Arial" w:hAnsi="Arial" w:cs="Arial"/>
          <w:iCs w:val="0"/>
          <w:sz w:val="24"/>
          <w:szCs w:val="24"/>
        </w:rPr>
        <w:t xml:space="preserve">and the results were statistically significant, supporting the claim that decision diaries increase </w:t>
      </w:r>
      <w:bookmarkStart w:id="0" w:name="_GoBack"/>
      <w:bookmarkEnd w:id="0"/>
      <w:r w:rsidR="009560EE" w:rsidRPr="008B359A">
        <w:rPr>
          <w:rFonts w:ascii="Arial" w:hAnsi="Arial" w:cs="Arial"/>
          <w:iCs w:val="0"/>
          <w:sz w:val="24"/>
          <w:szCs w:val="24"/>
        </w:rPr>
        <w:t>student’s</w:t>
      </w:r>
      <w:r w:rsidR="00F57B10" w:rsidRPr="008B359A">
        <w:rPr>
          <w:rFonts w:ascii="Arial" w:hAnsi="Arial" w:cs="Arial"/>
          <w:iCs w:val="0"/>
          <w:sz w:val="24"/>
          <w:szCs w:val="24"/>
        </w:rPr>
        <w:t xml:space="preserve"> clinical reasoning </w:t>
      </w:r>
      <w:r w:rsidR="004D41DD">
        <w:rPr>
          <w:rFonts w:ascii="Arial" w:hAnsi="Arial" w:cs="Arial"/>
          <w:iCs w:val="0"/>
          <w:sz w:val="24"/>
          <w:szCs w:val="24"/>
        </w:rPr>
        <w:t>insight during CEMS</w:t>
      </w:r>
      <w:r w:rsidR="00F57B10" w:rsidRPr="008B359A">
        <w:rPr>
          <w:rFonts w:ascii="Arial" w:hAnsi="Arial" w:cs="Arial"/>
          <w:iCs w:val="0"/>
          <w:sz w:val="24"/>
          <w:szCs w:val="24"/>
        </w:rPr>
        <w:t>.</w:t>
      </w:r>
      <w:r w:rsidRPr="008B359A">
        <w:rPr>
          <w:rFonts w:ascii="Arial" w:hAnsi="Arial" w:cs="Arial"/>
          <w:iCs w:val="0"/>
          <w:sz w:val="24"/>
          <w:szCs w:val="24"/>
        </w:rPr>
        <w:t xml:space="preserve"> Surprisingly, the unstructured notes sheet had a higher frequency of reflective comments than the standard case template.</w:t>
      </w:r>
      <w:r w:rsidR="00F57B10" w:rsidRPr="008B359A">
        <w:rPr>
          <w:rFonts w:ascii="Arial" w:hAnsi="Arial" w:cs="Arial"/>
          <w:iCs w:val="0"/>
          <w:sz w:val="24"/>
          <w:szCs w:val="24"/>
        </w:rPr>
        <w:t xml:space="preserve"> The standard case template used in the study was taken from a popular veterinary journal. The results from the study s</w:t>
      </w:r>
      <w:r w:rsidR="00662D05" w:rsidRPr="008B359A">
        <w:rPr>
          <w:rFonts w:ascii="Arial" w:hAnsi="Arial" w:cs="Arial"/>
          <w:iCs w:val="0"/>
          <w:sz w:val="24"/>
          <w:szCs w:val="24"/>
        </w:rPr>
        <w:t xml:space="preserve">uggest that with more descriptive prompts as in the decision diary, clinical reasoning can be increased dramatically. </w:t>
      </w:r>
      <w:r w:rsidR="00662D05" w:rsidRPr="008B359A">
        <w:rPr>
          <w:rFonts w:ascii="Arial" w:hAnsi="Arial" w:cs="Arial"/>
          <w:iCs w:val="0"/>
          <w:color w:val="000000" w:themeColor="text1"/>
          <w:sz w:val="24"/>
          <w:szCs w:val="24"/>
        </w:rPr>
        <w:t xml:space="preserve"> </w:t>
      </w:r>
    </w:p>
    <w:p w14:paraId="24D5F888" w14:textId="2BB5BB15" w:rsidR="0099161D" w:rsidRPr="008B359A" w:rsidRDefault="00D560DA" w:rsidP="00D725B2">
      <w:pPr>
        <w:pStyle w:val="NoSpacing"/>
        <w:spacing w:before="120" w:after="100" w:afterAutospacing="1"/>
        <w:rPr>
          <w:rFonts w:ascii="Arial" w:hAnsi="Arial" w:cs="Arial"/>
          <w:iCs w:val="0"/>
          <w:color w:val="000000" w:themeColor="text1"/>
          <w:sz w:val="24"/>
          <w:szCs w:val="24"/>
        </w:rPr>
      </w:pPr>
      <w:r w:rsidRPr="008B359A">
        <w:rPr>
          <w:rFonts w:ascii="Arial" w:hAnsi="Arial" w:cs="Arial"/>
          <w:iCs w:val="0"/>
          <w:color w:val="000000" w:themeColor="text1"/>
          <w:sz w:val="24"/>
          <w:szCs w:val="24"/>
        </w:rPr>
        <w:t xml:space="preserve">Distribution of both observation and reflection was found to be the same between third, </w:t>
      </w:r>
      <w:r w:rsidRPr="008B359A">
        <w:rPr>
          <w:rFonts w:ascii="Arial" w:hAnsi="Arial" w:cs="Arial"/>
          <w:iCs w:val="0"/>
          <w:color w:val="000000" w:themeColor="text1"/>
          <w:sz w:val="24"/>
          <w:szCs w:val="24"/>
        </w:rPr>
        <w:lastRenderedPageBreak/>
        <w:t xml:space="preserve">fourth and fifth year students. This was surprising, as the majority of third year students had not completed CEMS placement previously, but all fourth and fifth year participants had. This difference in experience was expected to affect the usefulness of the decision diary, but it did not. </w:t>
      </w:r>
      <w:r w:rsidR="00986116" w:rsidRPr="008B359A">
        <w:rPr>
          <w:rFonts w:ascii="Arial" w:hAnsi="Arial" w:cs="Arial"/>
          <w:iCs w:val="0"/>
          <w:color w:val="000000" w:themeColor="text1"/>
          <w:sz w:val="24"/>
          <w:szCs w:val="24"/>
        </w:rPr>
        <w:t xml:space="preserve">The implication is that fourth and fifth year students do not learn to communicate about decision-making during their placements, and thus find the decision diary as helpful as those students starting CEMS for the first time. The lack of this skill, even those familiar with a CEMS environment, emphasises the need for a clinical reasoning resource. It also suggests that the diary could be utilised throughout CEMS rather than being targeted just at ‘first-timers’. </w:t>
      </w:r>
    </w:p>
    <w:p w14:paraId="57DC8C5A" w14:textId="31635EA0" w:rsidR="008844C8" w:rsidRPr="008B359A" w:rsidRDefault="00662D05" w:rsidP="00D725B2">
      <w:pPr>
        <w:pStyle w:val="NoSpacing"/>
        <w:spacing w:before="120" w:after="100" w:afterAutospacing="1"/>
        <w:rPr>
          <w:rFonts w:ascii="Arial" w:hAnsi="Arial" w:cs="Arial"/>
          <w:iCs w:val="0"/>
          <w:color w:val="000000" w:themeColor="text1"/>
          <w:sz w:val="24"/>
          <w:szCs w:val="24"/>
        </w:rPr>
      </w:pPr>
      <w:r w:rsidRPr="008B359A">
        <w:rPr>
          <w:rFonts w:ascii="Arial" w:hAnsi="Arial" w:cs="Arial"/>
          <w:iCs w:val="0"/>
          <w:color w:val="000000" w:themeColor="text1"/>
          <w:sz w:val="24"/>
          <w:szCs w:val="24"/>
        </w:rPr>
        <w:t xml:space="preserve">There was no significant difference in observations or reflections recorded between the species of animal recorded (small animal, farm animal and equine). The majority of the cases were however, small animal; this is unsurprising as for most students, small animal CEMS placements are the easiest to obtain. </w:t>
      </w:r>
      <w:r w:rsidR="008844C8" w:rsidRPr="008B359A">
        <w:rPr>
          <w:rFonts w:ascii="Arial" w:hAnsi="Arial" w:cs="Arial"/>
          <w:iCs w:val="0"/>
          <w:color w:val="000000" w:themeColor="text1"/>
          <w:sz w:val="24"/>
          <w:szCs w:val="24"/>
        </w:rPr>
        <w:t xml:space="preserve">There was also no significant difference </w:t>
      </w:r>
      <w:r w:rsidR="00CD7D2D" w:rsidRPr="008B359A">
        <w:rPr>
          <w:rFonts w:ascii="Arial" w:hAnsi="Arial" w:cs="Arial"/>
          <w:iCs w:val="0"/>
          <w:color w:val="000000" w:themeColor="text1"/>
          <w:sz w:val="24"/>
          <w:szCs w:val="24"/>
        </w:rPr>
        <w:t xml:space="preserve">in the type of case recorded (routine, emergency, medical or surgical). </w:t>
      </w:r>
    </w:p>
    <w:p w14:paraId="096A97B9" w14:textId="6F6E48E1" w:rsidR="00352968" w:rsidRPr="008B359A" w:rsidRDefault="003569E9" w:rsidP="00D725B2">
      <w:pPr>
        <w:spacing w:before="120" w:after="100" w:afterAutospacing="1" w:line="240" w:lineRule="auto"/>
        <w:rPr>
          <w:rFonts w:ascii="Arial" w:hAnsi="Arial" w:cs="Arial"/>
          <w:iCs w:val="0"/>
          <w:color w:val="000000" w:themeColor="text1"/>
          <w:sz w:val="24"/>
          <w:szCs w:val="24"/>
        </w:rPr>
      </w:pPr>
      <w:r w:rsidRPr="008B359A">
        <w:rPr>
          <w:rFonts w:ascii="Arial" w:hAnsi="Arial" w:cs="Arial"/>
          <w:iCs w:val="0"/>
          <w:color w:val="000000" w:themeColor="text1"/>
          <w:sz w:val="24"/>
          <w:szCs w:val="24"/>
        </w:rPr>
        <w:t xml:space="preserve">This study was limited by the small number of participants that volunteered to take part despite the incentives offered for participants </w:t>
      </w:r>
      <w:r w:rsidR="00381422">
        <w:rPr>
          <w:rFonts w:ascii="Arial" w:hAnsi="Arial" w:cs="Arial"/>
          <w:iCs w:val="0"/>
          <w:color w:val="000000" w:themeColor="text1"/>
          <w:sz w:val="24"/>
          <w:szCs w:val="24"/>
        </w:rPr>
        <w:t>– particularly lacking</w:t>
      </w:r>
      <w:r w:rsidRPr="008B359A">
        <w:rPr>
          <w:rFonts w:ascii="Arial" w:hAnsi="Arial" w:cs="Arial"/>
          <w:iCs w:val="0"/>
          <w:color w:val="000000" w:themeColor="text1"/>
          <w:sz w:val="24"/>
          <w:szCs w:val="24"/>
        </w:rPr>
        <w:t xml:space="preserve"> male participants.</w:t>
      </w:r>
      <w:r w:rsidR="00381422">
        <w:rPr>
          <w:rFonts w:ascii="Arial" w:hAnsi="Arial" w:cs="Arial"/>
          <w:iCs w:val="0"/>
          <w:color w:val="000000" w:themeColor="text1"/>
          <w:sz w:val="24"/>
          <w:szCs w:val="24"/>
        </w:rPr>
        <w:t xml:space="preserve"> Selection bias might impact this study – as those that volunteered may have been more dedicated than others to improving their CEMS experience, however this was likely minimised by the offer of a cash voucher incentive.</w:t>
      </w:r>
      <w:r w:rsidRPr="008B359A">
        <w:rPr>
          <w:rFonts w:ascii="Arial" w:hAnsi="Arial" w:cs="Arial"/>
          <w:iCs w:val="0"/>
          <w:color w:val="000000" w:themeColor="text1"/>
          <w:sz w:val="24"/>
          <w:szCs w:val="24"/>
        </w:rPr>
        <w:t xml:space="preserve"> </w:t>
      </w:r>
      <w:r w:rsidR="00381422">
        <w:rPr>
          <w:rFonts w:ascii="Arial" w:hAnsi="Arial" w:cs="Arial"/>
          <w:iCs w:val="0"/>
          <w:color w:val="000000" w:themeColor="text1"/>
          <w:sz w:val="24"/>
          <w:szCs w:val="24"/>
        </w:rPr>
        <w:t xml:space="preserve">The participants also came from the same vet school, so using students from other schools would increase the generalisability of these findings. </w:t>
      </w:r>
    </w:p>
    <w:p w14:paraId="174D356A" w14:textId="255FFFDD" w:rsidR="00F9761C" w:rsidRPr="008B359A" w:rsidRDefault="000E570A" w:rsidP="00D725B2">
      <w:pPr>
        <w:spacing w:before="120" w:after="100" w:afterAutospacing="1" w:line="240" w:lineRule="auto"/>
        <w:rPr>
          <w:rFonts w:ascii="Arial" w:hAnsi="Arial" w:cs="Arial"/>
          <w:iCs w:val="0"/>
          <w:color w:val="000000" w:themeColor="text1"/>
          <w:sz w:val="24"/>
          <w:szCs w:val="24"/>
        </w:rPr>
      </w:pPr>
      <w:r w:rsidRPr="008B359A">
        <w:rPr>
          <w:rFonts w:ascii="Arial" w:hAnsi="Arial" w:cs="Arial"/>
          <w:iCs w:val="0"/>
          <w:color w:val="000000" w:themeColor="text1"/>
          <w:sz w:val="24"/>
          <w:szCs w:val="24"/>
        </w:rPr>
        <w:t xml:space="preserve">To assist CEMS providers that wanted to enhance their reflective skills and increase transparency of their own thought process, surgeons could be asked to identify areas that students struggle to reason through and formulate a ‘thinking routine’ from their own approach to the problem. This could be taught as a continuing professional development session which would be of benefit for both the student and veterinary surgeon. </w:t>
      </w:r>
    </w:p>
    <w:p w14:paraId="6BD9A549" w14:textId="4F2C99A5" w:rsidR="00352968" w:rsidRPr="008B359A" w:rsidRDefault="00352968" w:rsidP="00D725B2">
      <w:pPr>
        <w:spacing w:before="120" w:after="100" w:afterAutospacing="1" w:line="240" w:lineRule="auto"/>
        <w:rPr>
          <w:rFonts w:ascii="Arial" w:hAnsi="Arial" w:cs="Arial"/>
          <w:iCs w:val="0"/>
          <w:sz w:val="24"/>
          <w:szCs w:val="24"/>
        </w:rPr>
      </w:pPr>
      <w:r w:rsidRPr="008B359A">
        <w:rPr>
          <w:rFonts w:ascii="Arial" w:hAnsi="Arial" w:cs="Arial"/>
          <w:iCs w:val="0"/>
          <w:sz w:val="24"/>
          <w:szCs w:val="24"/>
        </w:rPr>
        <w:t xml:space="preserve">The results of this study have met the aims of suggesting ways to improve how clinical reasoning is taught to veterinary students. </w:t>
      </w:r>
      <w:r w:rsidR="00173FDD" w:rsidRPr="008B359A">
        <w:rPr>
          <w:rFonts w:ascii="Arial" w:hAnsi="Arial" w:cs="Arial"/>
          <w:iCs w:val="0"/>
          <w:sz w:val="24"/>
          <w:szCs w:val="24"/>
        </w:rPr>
        <w:t xml:space="preserve">With the use of decision diaries, students can access the skill better. </w:t>
      </w:r>
      <w:r w:rsidRPr="008B359A">
        <w:rPr>
          <w:rFonts w:ascii="Arial" w:hAnsi="Arial" w:cs="Arial"/>
          <w:iCs w:val="0"/>
          <w:sz w:val="24"/>
          <w:szCs w:val="24"/>
        </w:rPr>
        <w:t xml:space="preserve">The transition into practice may be the toughest point in their careers, and it is veterinary </w:t>
      </w:r>
      <w:r w:rsidR="00173FDD" w:rsidRPr="008B359A">
        <w:rPr>
          <w:rFonts w:ascii="Arial" w:hAnsi="Arial" w:cs="Arial"/>
          <w:iCs w:val="0"/>
          <w:sz w:val="24"/>
          <w:szCs w:val="24"/>
        </w:rPr>
        <w:t>educator’s</w:t>
      </w:r>
      <w:r w:rsidRPr="008B359A">
        <w:rPr>
          <w:rFonts w:ascii="Arial" w:hAnsi="Arial" w:cs="Arial"/>
          <w:iCs w:val="0"/>
          <w:sz w:val="24"/>
          <w:szCs w:val="24"/>
        </w:rPr>
        <w:t xml:space="preserve"> duty to ensure students are well equipped with the necessary skills to strive as graduates. Veterinary schools as well vets in practice must look at how </w:t>
      </w:r>
      <w:r w:rsidRPr="008B359A">
        <w:rPr>
          <w:rFonts w:ascii="Arial" w:hAnsi="Arial" w:cs="Arial"/>
          <w:iCs w:val="0"/>
          <w:sz w:val="24"/>
          <w:szCs w:val="24"/>
        </w:rPr>
        <w:lastRenderedPageBreak/>
        <w:t>best to integrate clinical reasoning into the curricula as well as during clinical EMS placements with the aim of improving clinical reasoning abilities of new graduates</w:t>
      </w:r>
      <w:r w:rsidR="00173FDD" w:rsidRPr="008B359A">
        <w:rPr>
          <w:rFonts w:ascii="Arial" w:hAnsi="Arial" w:cs="Arial"/>
          <w:iCs w:val="0"/>
          <w:sz w:val="24"/>
          <w:szCs w:val="24"/>
        </w:rPr>
        <w:t xml:space="preserve"> and providing a positive start to their careers. </w:t>
      </w:r>
    </w:p>
    <w:p w14:paraId="44272E39" w14:textId="77777777" w:rsidR="009560EE" w:rsidRDefault="009560EE">
      <w:pPr>
        <w:rPr>
          <w:rFonts w:ascii="Arial" w:hAnsi="Arial" w:cs="Arial"/>
          <w:b/>
          <w:iCs w:val="0"/>
          <w:sz w:val="24"/>
          <w:szCs w:val="24"/>
        </w:rPr>
      </w:pPr>
    </w:p>
    <w:p w14:paraId="5882C589" w14:textId="4D1BF231" w:rsidR="002A5808" w:rsidRPr="008B359A" w:rsidRDefault="00D725B2">
      <w:pPr>
        <w:rPr>
          <w:rFonts w:ascii="Arial" w:hAnsi="Arial" w:cs="Arial"/>
          <w:b/>
          <w:iCs w:val="0"/>
          <w:sz w:val="24"/>
          <w:szCs w:val="24"/>
        </w:rPr>
      </w:pPr>
      <w:r w:rsidRPr="008B359A">
        <w:rPr>
          <w:rFonts w:ascii="Arial" w:hAnsi="Arial" w:cs="Arial"/>
          <w:b/>
          <w:iCs w:val="0"/>
          <w:sz w:val="24"/>
          <w:szCs w:val="24"/>
        </w:rPr>
        <w:t>References</w:t>
      </w:r>
    </w:p>
    <w:p w14:paraId="5C05CDBE" w14:textId="77777777" w:rsidR="008C030E" w:rsidRPr="008B359A" w:rsidRDefault="008C030E" w:rsidP="008C030E">
      <w:pPr>
        <w:widowControl w:val="0"/>
        <w:autoSpaceDE w:val="0"/>
        <w:autoSpaceDN w:val="0"/>
        <w:adjustRightInd w:val="0"/>
        <w:spacing w:after="0" w:line="240" w:lineRule="auto"/>
        <w:ind w:left="360"/>
        <w:rPr>
          <w:rFonts w:ascii="Arial" w:hAnsi="Arial" w:cs="Arial"/>
          <w:iCs w:val="0"/>
          <w:sz w:val="24"/>
          <w:szCs w:val="24"/>
        </w:rPr>
      </w:pPr>
      <w:proofErr w:type="spellStart"/>
      <w:r w:rsidRPr="008B359A">
        <w:rPr>
          <w:rFonts w:ascii="Arial" w:hAnsi="Arial" w:cs="Arial"/>
          <w:iCs w:val="0"/>
          <w:sz w:val="24"/>
          <w:szCs w:val="24"/>
        </w:rPr>
        <w:t>Boenink</w:t>
      </w:r>
      <w:proofErr w:type="spellEnd"/>
      <w:r w:rsidRPr="008B359A">
        <w:rPr>
          <w:rFonts w:ascii="Arial" w:hAnsi="Arial" w:cs="Arial"/>
          <w:iCs w:val="0"/>
          <w:sz w:val="24"/>
          <w:szCs w:val="24"/>
        </w:rPr>
        <w:t xml:space="preserve">, A., </w:t>
      </w:r>
      <w:proofErr w:type="spellStart"/>
      <w:r w:rsidRPr="008B359A">
        <w:rPr>
          <w:rFonts w:ascii="Arial" w:hAnsi="Arial" w:cs="Arial"/>
          <w:iCs w:val="0"/>
          <w:sz w:val="24"/>
          <w:szCs w:val="24"/>
        </w:rPr>
        <w:t>Oderwald</w:t>
      </w:r>
      <w:proofErr w:type="spellEnd"/>
      <w:r w:rsidRPr="008B359A">
        <w:rPr>
          <w:rFonts w:ascii="Arial" w:hAnsi="Arial" w:cs="Arial"/>
          <w:iCs w:val="0"/>
          <w:sz w:val="24"/>
          <w:szCs w:val="24"/>
        </w:rPr>
        <w:t xml:space="preserve">, A., De </w:t>
      </w:r>
      <w:proofErr w:type="spellStart"/>
      <w:r w:rsidRPr="008B359A">
        <w:rPr>
          <w:rFonts w:ascii="Arial" w:hAnsi="Arial" w:cs="Arial"/>
          <w:iCs w:val="0"/>
          <w:sz w:val="24"/>
          <w:szCs w:val="24"/>
        </w:rPr>
        <w:t>Jonge</w:t>
      </w:r>
      <w:proofErr w:type="spellEnd"/>
      <w:r w:rsidRPr="008B359A">
        <w:rPr>
          <w:rFonts w:ascii="Arial" w:hAnsi="Arial" w:cs="Arial"/>
          <w:iCs w:val="0"/>
          <w:sz w:val="24"/>
          <w:szCs w:val="24"/>
        </w:rPr>
        <w:t xml:space="preserve">, P., Van Tilburg, W., and </w:t>
      </w:r>
      <w:proofErr w:type="spellStart"/>
      <w:r w:rsidRPr="008B359A">
        <w:rPr>
          <w:rFonts w:ascii="Arial" w:hAnsi="Arial" w:cs="Arial"/>
          <w:iCs w:val="0"/>
          <w:sz w:val="24"/>
          <w:szCs w:val="24"/>
        </w:rPr>
        <w:t>Smal</w:t>
      </w:r>
      <w:proofErr w:type="spellEnd"/>
      <w:r w:rsidRPr="008B359A">
        <w:rPr>
          <w:rFonts w:ascii="Arial" w:hAnsi="Arial" w:cs="Arial"/>
          <w:iCs w:val="0"/>
          <w:sz w:val="24"/>
          <w:szCs w:val="24"/>
        </w:rPr>
        <w:t xml:space="preserve">, J., 2004. Assessing student reflection in medical practice. The development of an observer-rated instrument: Reliability, validity and initial experiences. </w:t>
      </w:r>
      <w:r w:rsidRPr="008B359A">
        <w:rPr>
          <w:rFonts w:ascii="Arial" w:hAnsi="Arial" w:cs="Arial"/>
          <w:i/>
          <w:sz w:val="24"/>
          <w:szCs w:val="24"/>
        </w:rPr>
        <w:t>Medical Education</w:t>
      </w:r>
      <w:r w:rsidRPr="008B359A">
        <w:rPr>
          <w:rFonts w:ascii="Arial" w:hAnsi="Arial" w:cs="Arial"/>
          <w:iCs w:val="0"/>
          <w:sz w:val="24"/>
          <w:szCs w:val="24"/>
        </w:rPr>
        <w:t xml:space="preserve">, 38 (4), 368–377. </w:t>
      </w:r>
    </w:p>
    <w:p w14:paraId="44CEF9F6" w14:textId="77777777" w:rsidR="008C030E" w:rsidRPr="008B359A" w:rsidRDefault="008C030E" w:rsidP="008C030E">
      <w:pPr>
        <w:widowControl w:val="0"/>
        <w:autoSpaceDE w:val="0"/>
        <w:autoSpaceDN w:val="0"/>
        <w:adjustRightInd w:val="0"/>
        <w:spacing w:after="0" w:line="240" w:lineRule="auto"/>
        <w:ind w:left="360"/>
        <w:rPr>
          <w:rFonts w:ascii="Arial" w:hAnsi="Arial" w:cs="Arial"/>
          <w:iCs w:val="0"/>
          <w:sz w:val="24"/>
          <w:szCs w:val="24"/>
        </w:rPr>
      </w:pPr>
    </w:p>
    <w:p w14:paraId="65B2E5EF" w14:textId="77777777" w:rsidR="008C030E" w:rsidRPr="008B359A" w:rsidRDefault="008C030E" w:rsidP="008C030E">
      <w:pPr>
        <w:widowControl w:val="0"/>
        <w:autoSpaceDE w:val="0"/>
        <w:autoSpaceDN w:val="0"/>
        <w:adjustRightInd w:val="0"/>
        <w:spacing w:after="0" w:line="240" w:lineRule="auto"/>
        <w:ind w:left="360"/>
        <w:rPr>
          <w:rFonts w:ascii="Arial" w:hAnsi="Arial" w:cs="Arial"/>
          <w:iCs w:val="0"/>
          <w:sz w:val="24"/>
          <w:szCs w:val="24"/>
        </w:rPr>
      </w:pPr>
      <w:r w:rsidRPr="008B359A">
        <w:rPr>
          <w:rFonts w:ascii="Arial" w:hAnsi="Arial" w:cs="Arial"/>
          <w:iCs w:val="0"/>
          <w:sz w:val="24"/>
          <w:szCs w:val="24"/>
        </w:rPr>
        <w:t xml:space="preserve">BVA, 2011. Extramural studies: a guide for practitioners. </w:t>
      </w:r>
    </w:p>
    <w:p w14:paraId="5358277C" w14:textId="77777777" w:rsidR="008C030E" w:rsidRPr="008B359A" w:rsidRDefault="008C030E" w:rsidP="008C030E">
      <w:pPr>
        <w:widowControl w:val="0"/>
        <w:autoSpaceDE w:val="0"/>
        <w:autoSpaceDN w:val="0"/>
        <w:adjustRightInd w:val="0"/>
        <w:spacing w:after="0" w:line="240" w:lineRule="auto"/>
        <w:ind w:left="360"/>
        <w:rPr>
          <w:rFonts w:ascii="Arial" w:hAnsi="Arial" w:cs="Arial"/>
          <w:iCs w:val="0"/>
          <w:sz w:val="24"/>
          <w:szCs w:val="24"/>
        </w:rPr>
      </w:pPr>
    </w:p>
    <w:p w14:paraId="1B2C01F4" w14:textId="77777777" w:rsidR="008C030E" w:rsidRPr="008B359A" w:rsidRDefault="008C030E" w:rsidP="008C030E">
      <w:pPr>
        <w:widowControl w:val="0"/>
        <w:autoSpaceDE w:val="0"/>
        <w:autoSpaceDN w:val="0"/>
        <w:adjustRightInd w:val="0"/>
        <w:spacing w:after="0" w:line="240" w:lineRule="auto"/>
        <w:ind w:left="360"/>
        <w:rPr>
          <w:rFonts w:ascii="Arial" w:hAnsi="Arial" w:cs="Arial"/>
          <w:iCs w:val="0"/>
          <w:sz w:val="24"/>
          <w:szCs w:val="24"/>
        </w:rPr>
      </w:pPr>
      <w:r w:rsidRPr="008B359A">
        <w:rPr>
          <w:rFonts w:ascii="Arial" w:hAnsi="Arial" w:cs="Arial"/>
          <w:iCs w:val="0"/>
          <w:sz w:val="24"/>
          <w:szCs w:val="24"/>
        </w:rPr>
        <w:t xml:space="preserve">BVA, 2013. </w:t>
      </w:r>
      <w:r w:rsidRPr="008B359A">
        <w:rPr>
          <w:rFonts w:ascii="Arial" w:hAnsi="Arial" w:cs="Arial"/>
          <w:i/>
          <w:sz w:val="24"/>
          <w:szCs w:val="24"/>
        </w:rPr>
        <w:t>Extramural studies: a guide for students</w:t>
      </w:r>
      <w:r w:rsidRPr="008B359A">
        <w:rPr>
          <w:rFonts w:ascii="Arial" w:hAnsi="Arial" w:cs="Arial"/>
          <w:iCs w:val="0"/>
          <w:sz w:val="24"/>
          <w:szCs w:val="24"/>
        </w:rPr>
        <w:t xml:space="preserve">. </w:t>
      </w:r>
    </w:p>
    <w:p w14:paraId="77EFA712" w14:textId="77777777" w:rsidR="008C030E" w:rsidRPr="008B359A" w:rsidRDefault="008C030E" w:rsidP="008C030E">
      <w:pPr>
        <w:widowControl w:val="0"/>
        <w:autoSpaceDE w:val="0"/>
        <w:autoSpaceDN w:val="0"/>
        <w:adjustRightInd w:val="0"/>
        <w:spacing w:after="0" w:line="240" w:lineRule="auto"/>
        <w:ind w:left="360"/>
        <w:rPr>
          <w:rFonts w:ascii="Arial" w:hAnsi="Arial" w:cs="Arial"/>
          <w:iCs w:val="0"/>
          <w:sz w:val="24"/>
          <w:szCs w:val="24"/>
        </w:rPr>
      </w:pPr>
    </w:p>
    <w:p w14:paraId="0253B859" w14:textId="77777777" w:rsidR="008C030E" w:rsidRPr="008B359A" w:rsidRDefault="008C030E" w:rsidP="008C030E">
      <w:pPr>
        <w:widowControl w:val="0"/>
        <w:autoSpaceDE w:val="0"/>
        <w:autoSpaceDN w:val="0"/>
        <w:adjustRightInd w:val="0"/>
        <w:spacing w:after="0" w:line="240" w:lineRule="auto"/>
        <w:ind w:left="360"/>
        <w:rPr>
          <w:rFonts w:ascii="Arial" w:hAnsi="Arial" w:cs="Arial"/>
          <w:iCs w:val="0"/>
          <w:sz w:val="24"/>
          <w:szCs w:val="24"/>
        </w:rPr>
      </w:pPr>
      <w:r w:rsidRPr="008B359A">
        <w:rPr>
          <w:rFonts w:ascii="Arial" w:hAnsi="Arial" w:cs="Arial"/>
          <w:iCs w:val="0"/>
          <w:sz w:val="24"/>
          <w:szCs w:val="24"/>
        </w:rPr>
        <w:t xml:space="preserve">Fletcher, O., Hooper, B., and </w:t>
      </w:r>
      <w:proofErr w:type="spellStart"/>
      <w:r w:rsidRPr="008B359A">
        <w:rPr>
          <w:rFonts w:ascii="Arial" w:hAnsi="Arial" w:cs="Arial"/>
          <w:iCs w:val="0"/>
          <w:sz w:val="24"/>
          <w:szCs w:val="24"/>
        </w:rPr>
        <w:t>Schoenfeld-Tacher</w:t>
      </w:r>
      <w:proofErr w:type="spellEnd"/>
      <w:r w:rsidRPr="008B359A">
        <w:rPr>
          <w:rFonts w:ascii="Arial" w:hAnsi="Arial" w:cs="Arial"/>
          <w:iCs w:val="0"/>
          <w:sz w:val="24"/>
          <w:szCs w:val="24"/>
        </w:rPr>
        <w:t xml:space="preserve">, R., 2015. Instruction and Curriculum in Veterinary Medical Education: A 50-Year Perspective. </w:t>
      </w:r>
      <w:r w:rsidRPr="008B359A">
        <w:rPr>
          <w:rFonts w:ascii="Arial" w:hAnsi="Arial" w:cs="Arial"/>
          <w:i/>
          <w:sz w:val="24"/>
          <w:szCs w:val="24"/>
        </w:rPr>
        <w:t>Journal of Veterinary Medical Education</w:t>
      </w:r>
      <w:r w:rsidRPr="008B359A">
        <w:rPr>
          <w:rFonts w:ascii="Arial" w:hAnsi="Arial" w:cs="Arial"/>
          <w:iCs w:val="0"/>
          <w:sz w:val="24"/>
          <w:szCs w:val="24"/>
        </w:rPr>
        <w:t xml:space="preserve">, 42 (5), 489–500. </w:t>
      </w:r>
    </w:p>
    <w:p w14:paraId="3FE95460" w14:textId="77777777" w:rsidR="008C030E" w:rsidRPr="008B359A" w:rsidRDefault="008C030E" w:rsidP="008C030E">
      <w:pPr>
        <w:widowControl w:val="0"/>
        <w:autoSpaceDE w:val="0"/>
        <w:autoSpaceDN w:val="0"/>
        <w:adjustRightInd w:val="0"/>
        <w:spacing w:after="0" w:line="240" w:lineRule="auto"/>
        <w:ind w:left="360"/>
        <w:rPr>
          <w:rFonts w:ascii="Arial" w:hAnsi="Arial" w:cs="Arial"/>
          <w:iCs w:val="0"/>
          <w:sz w:val="24"/>
          <w:szCs w:val="24"/>
        </w:rPr>
      </w:pPr>
    </w:p>
    <w:p w14:paraId="60D3E57A" w14:textId="77777777" w:rsidR="008C030E" w:rsidRPr="008B359A" w:rsidRDefault="008C030E" w:rsidP="008C030E">
      <w:pPr>
        <w:widowControl w:val="0"/>
        <w:autoSpaceDE w:val="0"/>
        <w:autoSpaceDN w:val="0"/>
        <w:adjustRightInd w:val="0"/>
        <w:spacing w:after="0" w:line="240" w:lineRule="auto"/>
        <w:ind w:left="360"/>
        <w:rPr>
          <w:rFonts w:ascii="Arial" w:hAnsi="Arial" w:cs="Arial"/>
          <w:iCs w:val="0"/>
          <w:sz w:val="24"/>
          <w:szCs w:val="24"/>
        </w:rPr>
      </w:pPr>
      <w:proofErr w:type="spellStart"/>
      <w:r w:rsidRPr="008B359A">
        <w:rPr>
          <w:rFonts w:ascii="Arial" w:hAnsi="Arial" w:cs="Arial"/>
          <w:iCs w:val="0"/>
          <w:sz w:val="24"/>
          <w:szCs w:val="24"/>
        </w:rPr>
        <w:t>Hulsman</w:t>
      </w:r>
      <w:proofErr w:type="spellEnd"/>
      <w:r w:rsidRPr="008B359A">
        <w:rPr>
          <w:rFonts w:ascii="Arial" w:hAnsi="Arial" w:cs="Arial"/>
          <w:iCs w:val="0"/>
          <w:sz w:val="24"/>
          <w:szCs w:val="24"/>
        </w:rPr>
        <w:t xml:space="preserve">, R., </w:t>
      </w:r>
      <w:proofErr w:type="spellStart"/>
      <w:r w:rsidRPr="008B359A">
        <w:rPr>
          <w:rFonts w:ascii="Arial" w:hAnsi="Arial" w:cs="Arial"/>
          <w:iCs w:val="0"/>
          <w:sz w:val="24"/>
          <w:szCs w:val="24"/>
        </w:rPr>
        <w:t>Harmsen</w:t>
      </w:r>
      <w:proofErr w:type="spellEnd"/>
      <w:r w:rsidRPr="008B359A">
        <w:rPr>
          <w:rFonts w:ascii="Arial" w:hAnsi="Arial" w:cs="Arial"/>
          <w:iCs w:val="0"/>
          <w:sz w:val="24"/>
          <w:szCs w:val="24"/>
        </w:rPr>
        <w:t xml:space="preserve">, A., and </w:t>
      </w:r>
      <w:proofErr w:type="spellStart"/>
      <w:r w:rsidRPr="008B359A">
        <w:rPr>
          <w:rFonts w:ascii="Arial" w:hAnsi="Arial" w:cs="Arial"/>
          <w:iCs w:val="0"/>
          <w:sz w:val="24"/>
          <w:szCs w:val="24"/>
        </w:rPr>
        <w:t>Fabriek</w:t>
      </w:r>
      <w:proofErr w:type="spellEnd"/>
      <w:r w:rsidRPr="008B359A">
        <w:rPr>
          <w:rFonts w:ascii="Arial" w:hAnsi="Arial" w:cs="Arial"/>
          <w:iCs w:val="0"/>
          <w:sz w:val="24"/>
          <w:szCs w:val="24"/>
        </w:rPr>
        <w:t xml:space="preserve">, M., 2009. Reflective teaching of medical communication skills with </w:t>
      </w:r>
      <w:proofErr w:type="spellStart"/>
      <w:r w:rsidRPr="008B359A">
        <w:rPr>
          <w:rFonts w:ascii="Arial" w:hAnsi="Arial" w:cs="Arial"/>
          <w:iCs w:val="0"/>
          <w:sz w:val="24"/>
          <w:szCs w:val="24"/>
        </w:rPr>
        <w:t>DiViDU</w:t>
      </w:r>
      <w:proofErr w:type="spellEnd"/>
      <w:r w:rsidRPr="008B359A">
        <w:rPr>
          <w:rFonts w:ascii="Arial" w:hAnsi="Arial" w:cs="Arial"/>
          <w:iCs w:val="0"/>
          <w:sz w:val="24"/>
          <w:szCs w:val="24"/>
        </w:rPr>
        <w:t xml:space="preserve">: Assessing the level of student reflection on recorded consultations with simulated patients. </w:t>
      </w:r>
      <w:r w:rsidRPr="008B359A">
        <w:rPr>
          <w:rFonts w:ascii="Arial" w:hAnsi="Arial" w:cs="Arial"/>
          <w:i/>
          <w:sz w:val="24"/>
          <w:szCs w:val="24"/>
        </w:rPr>
        <w:t xml:space="preserve">Patient Education and </w:t>
      </w:r>
      <w:proofErr w:type="spellStart"/>
      <w:r w:rsidRPr="008B359A">
        <w:rPr>
          <w:rFonts w:ascii="Arial" w:hAnsi="Arial" w:cs="Arial"/>
          <w:i/>
          <w:sz w:val="24"/>
          <w:szCs w:val="24"/>
        </w:rPr>
        <w:t>Counseling</w:t>
      </w:r>
      <w:proofErr w:type="spellEnd"/>
      <w:r w:rsidRPr="008B359A">
        <w:rPr>
          <w:rFonts w:ascii="Arial" w:hAnsi="Arial" w:cs="Arial"/>
          <w:iCs w:val="0"/>
          <w:sz w:val="24"/>
          <w:szCs w:val="24"/>
        </w:rPr>
        <w:t xml:space="preserve">, 74 (2), 142–149. </w:t>
      </w:r>
    </w:p>
    <w:p w14:paraId="7556C402" w14:textId="77777777" w:rsidR="008C030E" w:rsidRPr="008B359A" w:rsidRDefault="008C030E" w:rsidP="008C030E">
      <w:pPr>
        <w:widowControl w:val="0"/>
        <w:autoSpaceDE w:val="0"/>
        <w:autoSpaceDN w:val="0"/>
        <w:adjustRightInd w:val="0"/>
        <w:spacing w:after="0" w:line="240" w:lineRule="auto"/>
        <w:ind w:left="360"/>
        <w:rPr>
          <w:rFonts w:ascii="Arial" w:hAnsi="Arial" w:cs="Arial"/>
          <w:iCs w:val="0"/>
          <w:sz w:val="24"/>
          <w:szCs w:val="24"/>
        </w:rPr>
      </w:pPr>
    </w:p>
    <w:p w14:paraId="3C176D89" w14:textId="77777777" w:rsidR="008C030E" w:rsidRPr="008B359A" w:rsidRDefault="008C030E" w:rsidP="008C030E">
      <w:pPr>
        <w:widowControl w:val="0"/>
        <w:autoSpaceDE w:val="0"/>
        <w:autoSpaceDN w:val="0"/>
        <w:adjustRightInd w:val="0"/>
        <w:spacing w:after="0" w:line="240" w:lineRule="auto"/>
        <w:ind w:left="360"/>
        <w:rPr>
          <w:rFonts w:ascii="Arial" w:hAnsi="Arial" w:cs="Arial"/>
          <w:iCs w:val="0"/>
          <w:sz w:val="24"/>
          <w:szCs w:val="24"/>
        </w:rPr>
      </w:pPr>
      <w:r w:rsidRPr="008B359A">
        <w:rPr>
          <w:rFonts w:ascii="Arial" w:hAnsi="Arial" w:cs="Arial"/>
          <w:iCs w:val="0"/>
          <w:sz w:val="24"/>
          <w:szCs w:val="24"/>
        </w:rPr>
        <w:t xml:space="preserve">Irby, D., 1986. Clinical teaching and the clinical teacher. </w:t>
      </w:r>
      <w:r w:rsidRPr="008B359A">
        <w:rPr>
          <w:rFonts w:ascii="Arial" w:hAnsi="Arial" w:cs="Arial"/>
          <w:i/>
          <w:sz w:val="24"/>
          <w:szCs w:val="24"/>
        </w:rPr>
        <w:t>Academic Medicine</w:t>
      </w:r>
      <w:r w:rsidRPr="008B359A">
        <w:rPr>
          <w:rFonts w:ascii="Arial" w:hAnsi="Arial" w:cs="Arial"/>
          <w:iCs w:val="0"/>
          <w:sz w:val="24"/>
          <w:szCs w:val="24"/>
        </w:rPr>
        <w:t xml:space="preserve">. 61 (9), 35- 45 </w:t>
      </w:r>
    </w:p>
    <w:p w14:paraId="1CAA7877" w14:textId="77777777" w:rsidR="008C030E" w:rsidRPr="008B359A" w:rsidRDefault="008C030E" w:rsidP="008C030E">
      <w:pPr>
        <w:widowControl w:val="0"/>
        <w:autoSpaceDE w:val="0"/>
        <w:autoSpaceDN w:val="0"/>
        <w:adjustRightInd w:val="0"/>
        <w:spacing w:after="0" w:line="240" w:lineRule="auto"/>
        <w:ind w:left="360"/>
        <w:rPr>
          <w:rFonts w:ascii="Arial" w:hAnsi="Arial" w:cs="Arial"/>
          <w:iCs w:val="0"/>
          <w:sz w:val="24"/>
          <w:szCs w:val="24"/>
        </w:rPr>
      </w:pPr>
    </w:p>
    <w:p w14:paraId="69D2070B" w14:textId="77777777" w:rsidR="008C030E" w:rsidRPr="008B359A" w:rsidRDefault="008C030E" w:rsidP="008C030E">
      <w:pPr>
        <w:widowControl w:val="0"/>
        <w:autoSpaceDE w:val="0"/>
        <w:autoSpaceDN w:val="0"/>
        <w:adjustRightInd w:val="0"/>
        <w:spacing w:after="0" w:line="240" w:lineRule="auto"/>
        <w:ind w:left="360"/>
        <w:rPr>
          <w:rFonts w:ascii="Arial" w:hAnsi="Arial" w:cs="Arial"/>
          <w:iCs w:val="0"/>
          <w:sz w:val="24"/>
          <w:szCs w:val="24"/>
        </w:rPr>
      </w:pPr>
      <w:proofErr w:type="spellStart"/>
      <w:r w:rsidRPr="008B359A">
        <w:rPr>
          <w:rFonts w:ascii="Arial" w:hAnsi="Arial" w:cs="Arial"/>
          <w:iCs w:val="0"/>
          <w:sz w:val="24"/>
          <w:szCs w:val="24"/>
        </w:rPr>
        <w:lastRenderedPageBreak/>
        <w:t>Maudsley</w:t>
      </w:r>
      <w:proofErr w:type="spellEnd"/>
      <w:r w:rsidRPr="008B359A">
        <w:rPr>
          <w:rFonts w:ascii="Arial" w:hAnsi="Arial" w:cs="Arial"/>
          <w:iCs w:val="0"/>
          <w:sz w:val="24"/>
          <w:szCs w:val="24"/>
        </w:rPr>
        <w:t xml:space="preserve">, R., 2001. Role Models and the Learning Environment. </w:t>
      </w:r>
      <w:r w:rsidRPr="008B359A">
        <w:rPr>
          <w:rFonts w:ascii="Arial" w:hAnsi="Arial" w:cs="Arial"/>
          <w:i/>
          <w:sz w:val="24"/>
          <w:szCs w:val="24"/>
        </w:rPr>
        <w:t>Academic Medicine</w:t>
      </w:r>
      <w:r w:rsidRPr="008B359A">
        <w:rPr>
          <w:rFonts w:ascii="Arial" w:hAnsi="Arial" w:cs="Arial"/>
          <w:iCs w:val="0"/>
          <w:sz w:val="24"/>
          <w:szCs w:val="24"/>
        </w:rPr>
        <w:t xml:space="preserve">, 76 (5), 432–434. </w:t>
      </w:r>
    </w:p>
    <w:p w14:paraId="52DC2AE5" w14:textId="77777777" w:rsidR="008C030E" w:rsidRPr="008B359A" w:rsidRDefault="008C030E" w:rsidP="008C030E">
      <w:pPr>
        <w:widowControl w:val="0"/>
        <w:autoSpaceDE w:val="0"/>
        <w:autoSpaceDN w:val="0"/>
        <w:adjustRightInd w:val="0"/>
        <w:spacing w:after="0" w:line="240" w:lineRule="auto"/>
        <w:ind w:left="360"/>
        <w:rPr>
          <w:rFonts w:ascii="Arial" w:hAnsi="Arial" w:cs="Arial"/>
          <w:iCs w:val="0"/>
          <w:sz w:val="24"/>
          <w:szCs w:val="24"/>
        </w:rPr>
      </w:pPr>
    </w:p>
    <w:p w14:paraId="39652EE0" w14:textId="77777777" w:rsidR="008C030E" w:rsidRPr="008B359A" w:rsidRDefault="008C030E" w:rsidP="008C030E">
      <w:pPr>
        <w:widowControl w:val="0"/>
        <w:autoSpaceDE w:val="0"/>
        <w:autoSpaceDN w:val="0"/>
        <w:adjustRightInd w:val="0"/>
        <w:spacing w:after="0" w:line="240" w:lineRule="auto"/>
        <w:ind w:left="360"/>
        <w:rPr>
          <w:rFonts w:ascii="Arial" w:hAnsi="Arial" w:cs="Arial"/>
          <w:iCs w:val="0"/>
          <w:sz w:val="24"/>
          <w:szCs w:val="24"/>
        </w:rPr>
      </w:pPr>
      <w:r w:rsidRPr="008B359A">
        <w:rPr>
          <w:rFonts w:ascii="Arial" w:hAnsi="Arial" w:cs="Arial"/>
          <w:iCs w:val="0"/>
          <w:sz w:val="24"/>
          <w:szCs w:val="24"/>
        </w:rPr>
        <w:t xml:space="preserve">May, S., 2008. Modern veterinary graduates are outstanding, but can they get better? </w:t>
      </w:r>
      <w:r w:rsidRPr="008B359A">
        <w:rPr>
          <w:rFonts w:ascii="Arial" w:hAnsi="Arial" w:cs="Arial"/>
          <w:i/>
          <w:sz w:val="24"/>
          <w:szCs w:val="24"/>
        </w:rPr>
        <w:t>Journal of veterinary medical education</w:t>
      </w:r>
      <w:r w:rsidRPr="008B359A">
        <w:rPr>
          <w:rFonts w:ascii="Arial" w:hAnsi="Arial" w:cs="Arial"/>
          <w:iCs w:val="0"/>
          <w:sz w:val="24"/>
          <w:szCs w:val="24"/>
        </w:rPr>
        <w:t xml:space="preserve">, 35 (4), 573–580. </w:t>
      </w:r>
    </w:p>
    <w:p w14:paraId="63667FD6" w14:textId="77777777" w:rsidR="008C030E" w:rsidRPr="008B359A" w:rsidRDefault="008C030E" w:rsidP="008C030E">
      <w:pPr>
        <w:widowControl w:val="0"/>
        <w:autoSpaceDE w:val="0"/>
        <w:autoSpaceDN w:val="0"/>
        <w:adjustRightInd w:val="0"/>
        <w:spacing w:after="0" w:line="240" w:lineRule="auto"/>
        <w:ind w:left="360"/>
        <w:rPr>
          <w:rFonts w:ascii="Arial" w:hAnsi="Arial" w:cs="Arial"/>
          <w:iCs w:val="0"/>
          <w:sz w:val="24"/>
          <w:szCs w:val="24"/>
        </w:rPr>
      </w:pPr>
    </w:p>
    <w:p w14:paraId="79C42735" w14:textId="77777777" w:rsidR="008C030E" w:rsidRPr="008B359A" w:rsidRDefault="008C030E" w:rsidP="008C030E">
      <w:pPr>
        <w:pStyle w:val="NoSpacing"/>
        <w:ind w:left="360"/>
        <w:rPr>
          <w:rFonts w:ascii="Arial" w:hAnsi="Arial" w:cs="Arial"/>
          <w:sz w:val="24"/>
          <w:szCs w:val="24"/>
        </w:rPr>
      </w:pPr>
      <w:r w:rsidRPr="008B359A">
        <w:rPr>
          <w:rFonts w:ascii="Arial" w:hAnsi="Arial" w:cs="Arial"/>
          <w:sz w:val="24"/>
          <w:szCs w:val="24"/>
        </w:rPr>
        <w:t xml:space="preserve">Mossop, L. and Cobb, K., 2013. Teaching and Assessing Veterinary Professionalism. </w:t>
      </w:r>
      <w:r w:rsidRPr="008B359A">
        <w:rPr>
          <w:rFonts w:ascii="Arial" w:hAnsi="Arial" w:cs="Arial"/>
          <w:i/>
          <w:sz w:val="24"/>
          <w:szCs w:val="24"/>
        </w:rPr>
        <w:t>Journal of Veterinary Medical Education</w:t>
      </w:r>
      <w:r w:rsidRPr="008B359A">
        <w:rPr>
          <w:rFonts w:ascii="Arial" w:hAnsi="Arial" w:cs="Arial"/>
          <w:sz w:val="24"/>
          <w:szCs w:val="24"/>
        </w:rPr>
        <w:t xml:space="preserve">, 40 (3), 223–232. </w:t>
      </w:r>
    </w:p>
    <w:p w14:paraId="6E431D1D" w14:textId="77777777" w:rsidR="008C030E" w:rsidRPr="008B359A" w:rsidRDefault="008C030E" w:rsidP="008C030E">
      <w:pPr>
        <w:pStyle w:val="NoSpacing"/>
        <w:ind w:left="360"/>
        <w:rPr>
          <w:rFonts w:ascii="Arial" w:hAnsi="Arial" w:cs="Arial"/>
          <w:sz w:val="24"/>
          <w:szCs w:val="24"/>
        </w:rPr>
      </w:pPr>
    </w:p>
    <w:p w14:paraId="7521024E" w14:textId="77777777" w:rsidR="008C030E" w:rsidRPr="008B359A" w:rsidRDefault="008C030E" w:rsidP="008C030E">
      <w:pPr>
        <w:pStyle w:val="NoSpacing"/>
        <w:ind w:left="360"/>
        <w:rPr>
          <w:rFonts w:ascii="Arial" w:hAnsi="Arial" w:cs="Arial"/>
          <w:sz w:val="24"/>
          <w:szCs w:val="24"/>
        </w:rPr>
      </w:pPr>
      <w:r w:rsidRPr="008B359A">
        <w:rPr>
          <w:rFonts w:ascii="Arial" w:hAnsi="Arial" w:cs="Arial"/>
          <w:sz w:val="24"/>
          <w:szCs w:val="24"/>
        </w:rPr>
        <w:t xml:space="preserve">Mossop, L., 2012. Defining and Teaching Veterinary Professionalism. PhD Thesis. </w:t>
      </w:r>
    </w:p>
    <w:p w14:paraId="6184B3D8" w14:textId="6BE50C76" w:rsidR="008C030E" w:rsidRPr="008B359A" w:rsidRDefault="008C030E" w:rsidP="009560EE">
      <w:pPr>
        <w:pStyle w:val="NoSpacing"/>
        <w:rPr>
          <w:rFonts w:ascii="Arial" w:hAnsi="Arial" w:cs="Arial"/>
          <w:sz w:val="24"/>
          <w:szCs w:val="24"/>
        </w:rPr>
      </w:pPr>
    </w:p>
    <w:p w14:paraId="4C038EC5" w14:textId="77777777" w:rsidR="008C030E" w:rsidRPr="008B359A" w:rsidRDefault="008C030E" w:rsidP="008C030E">
      <w:pPr>
        <w:widowControl w:val="0"/>
        <w:autoSpaceDE w:val="0"/>
        <w:autoSpaceDN w:val="0"/>
        <w:adjustRightInd w:val="0"/>
        <w:spacing w:after="0" w:line="240" w:lineRule="auto"/>
        <w:ind w:left="360"/>
        <w:rPr>
          <w:rFonts w:ascii="Arial" w:eastAsia="MS Mincho" w:hAnsi="Arial" w:cs="Arial"/>
          <w:iCs w:val="0"/>
          <w:sz w:val="24"/>
          <w:szCs w:val="24"/>
        </w:rPr>
      </w:pPr>
      <w:r w:rsidRPr="008B359A">
        <w:rPr>
          <w:rFonts w:ascii="Arial" w:hAnsi="Arial" w:cs="Arial"/>
          <w:iCs w:val="0"/>
          <w:sz w:val="24"/>
          <w:szCs w:val="24"/>
        </w:rPr>
        <w:t>RCVS, 2009. Extra-Mural Studies.</w:t>
      </w:r>
      <w:r w:rsidRPr="008B359A">
        <w:rPr>
          <w:rFonts w:ascii="MS Gothic" w:eastAsia="MS Gothic" w:hAnsi="MS Gothic" w:cs="MS Gothic" w:hint="eastAsia"/>
          <w:iCs w:val="0"/>
          <w:sz w:val="24"/>
          <w:szCs w:val="24"/>
        </w:rPr>
        <w:t> </w:t>
      </w:r>
    </w:p>
    <w:p w14:paraId="3AF45EEE" w14:textId="77777777" w:rsidR="008C030E" w:rsidRPr="008B359A" w:rsidRDefault="008C030E" w:rsidP="008C030E">
      <w:pPr>
        <w:widowControl w:val="0"/>
        <w:autoSpaceDE w:val="0"/>
        <w:autoSpaceDN w:val="0"/>
        <w:adjustRightInd w:val="0"/>
        <w:spacing w:after="0" w:line="240" w:lineRule="auto"/>
        <w:ind w:left="360"/>
        <w:rPr>
          <w:rFonts w:ascii="Arial" w:hAnsi="Arial" w:cs="Arial"/>
          <w:iCs w:val="0"/>
          <w:sz w:val="24"/>
          <w:szCs w:val="24"/>
        </w:rPr>
      </w:pPr>
    </w:p>
    <w:p w14:paraId="3F890BE2" w14:textId="77777777" w:rsidR="008C030E" w:rsidRPr="008B359A" w:rsidRDefault="008C030E" w:rsidP="008C030E">
      <w:pPr>
        <w:pStyle w:val="NoSpacing"/>
        <w:ind w:left="360"/>
        <w:rPr>
          <w:rFonts w:ascii="Arial" w:hAnsi="Arial" w:cs="Arial"/>
          <w:sz w:val="24"/>
          <w:szCs w:val="24"/>
        </w:rPr>
      </w:pPr>
      <w:r w:rsidRPr="008B359A">
        <w:rPr>
          <w:rFonts w:ascii="Arial" w:hAnsi="Arial" w:cs="Arial"/>
          <w:sz w:val="24"/>
          <w:szCs w:val="24"/>
        </w:rPr>
        <w:t xml:space="preserve">RCVS, 2012. Guidance on the Professional Development Phase. </w:t>
      </w:r>
    </w:p>
    <w:p w14:paraId="4BEA94CC" w14:textId="77777777" w:rsidR="008C030E" w:rsidRPr="008B359A" w:rsidRDefault="008C030E" w:rsidP="008C030E">
      <w:pPr>
        <w:pStyle w:val="NoSpacing"/>
        <w:ind w:left="360"/>
        <w:rPr>
          <w:rFonts w:ascii="Arial" w:hAnsi="Arial" w:cs="Arial"/>
          <w:sz w:val="24"/>
          <w:szCs w:val="24"/>
        </w:rPr>
      </w:pPr>
    </w:p>
    <w:p w14:paraId="0799C1A9" w14:textId="77777777" w:rsidR="008C030E" w:rsidRPr="008B359A" w:rsidRDefault="008C030E" w:rsidP="008C030E">
      <w:pPr>
        <w:pStyle w:val="NoSpacing"/>
        <w:ind w:left="360"/>
        <w:rPr>
          <w:rFonts w:ascii="Arial" w:hAnsi="Arial" w:cs="Arial"/>
          <w:sz w:val="24"/>
          <w:szCs w:val="24"/>
        </w:rPr>
      </w:pPr>
      <w:r w:rsidRPr="008B359A">
        <w:rPr>
          <w:rFonts w:ascii="Arial" w:hAnsi="Arial" w:cs="Arial"/>
          <w:sz w:val="24"/>
          <w:szCs w:val="24"/>
        </w:rPr>
        <w:t xml:space="preserve">RCVS, 2014c. Report of EMS Survey. </w:t>
      </w:r>
    </w:p>
    <w:p w14:paraId="015B22C4" w14:textId="77777777" w:rsidR="008C030E" w:rsidRPr="008B359A" w:rsidRDefault="008C030E" w:rsidP="008C030E">
      <w:pPr>
        <w:pStyle w:val="NoSpacing"/>
        <w:ind w:left="360"/>
        <w:rPr>
          <w:rFonts w:ascii="Arial" w:hAnsi="Arial" w:cs="Arial"/>
          <w:sz w:val="24"/>
          <w:szCs w:val="24"/>
        </w:rPr>
      </w:pPr>
    </w:p>
    <w:p w14:paraId="30A71ABB" w14:textId="77777777" w:rsidR="008C030E" w:rsidRPr="008B359A" w:rsidRDefault="008C030E" w:rsidP="008C030E">
      <w:pPr>
        <w:widowControl w:val="0"/>
        <w:autoSpaceDE w:val="0"/>
        <w:autoSpaceDN w:val="0"/>
        <w:adjustRightInd w:val="0"/>
        <w:spacing w:after="0" w:line="240" w:lineRule="auto"/>
        <w:ind w:left="360"/>
        <w:rPr>
          <w:rFonts w:ascii="Arial" w:hAnsi="Arial" w:cs="Arial"/>
          <w:iCs w:val="0"/>
          <w:sz w:val="24"/>
          <w:szCs w:val="24"/>
        </w:rPr>
      </w:pPr>
      <w:proofErr w:type="spellStart"/>
      <w:r w:rsidRPr="008B359A">
        <w:rPr>
          <w:rFonts w:ascii="Arial" w:hAnsi="Arial" w:cs="Arial"/>
          <w:iCs w:val="0"/>
          <w:sz w:val="24"/>
          <w:szCs w:val="24"/>
        </w:rPr>
        <w:t>Reuler</w:t>
      </w:r>
      <w:proofErr w:type="spellEnd"/>
      <w:r w:rsidRPr="008B359A">
        <w:rPr>
          <w:rFonts w:ascii="Arial" w:hAnsi="Arial" w:cs="Arial"/>
          <w:iCs w:val="0"/>
          <w:sz w:val="24"/>
          <w:szCs w:val="24"/>
        </w:rPr>
        <w:t xml:space="preserve">, J. and </w:t>
      </w:r>
      <w:proofErr w:type="spellStart"/>
      <w:r w:rsidRPr="008B359A">
        <w:rPr>
          <w:rFonts w:ascii="Arial" w:hAnsi="Arial" w:cs="Arial"/>
          <w:iCs w:val="0"/>
          <w:sz w:val="24"/>
          <w:szCs w:val="24"/>
        </w:rPr>
        <w:t>Nardone</w:t>
      </w:r>
      <w:proofErr w:type="spellEnd"/>
      <w:r w:rsidRPr="008B359A">
        <w:rPr>
          <w:rFonts w:ascii="Arial" w:hAnsi="Arial" w:cs="Arial"/>
          <w:iCs w:val="0"/>
          <w:sz w:val="24"/>
          <w:szCs w:val="24"/>
        </w:rPr>
        <w:t xml:space="preserve">, D., 1994. Role </w:t>
      </w:r>
      <w:proofErr w:type="spellStart"/>
      <w:r w:rsidRPr="008B359A">
        <w:rPr>
          <w:rFonts w:ascii="Arial" w:hAnsi="Arial" w:cs="Arial"/>
          <w:iCs w:val="0"/>
          <w:sz w:val="24"/>
          <w:szCs w:val="24"/>
        </w:rPr>
        <w:t>modeling</w:t>
      </w:r>
      <w:proofErr w:type="spellEnd"/>
      <w:r w:rsidRPr="008B359A">
        <w:rPr>
          <w:rFonts w:ascii="Arial" w:hAnsi="Arial" w:cs="Arial"/>
          <w:iCs w:val="0"/>
          <w:sz w:val="24"/>
          <w:szCs w:val="24"/>
        </w:rPr>
        <w:t xml:space="preserve"> in medical education. </w:t>
      </w:r>
      <w:r w:rsidRPr="008B359A">
        <w:rPr>
          <w:rFonts w:ascii="Arial" w:hAnsi="Arial" w:cs="Arial"/>
          <w:i/>
          <w:sz w:val="24"/>
          <w:szCs w:val="24"/>
        </w:rPr>
        <w:t>West J Med</w:t>
      </w:r>
      <w:r w:rsidRPr="008B359A">
        <w:rPr>
          <w:rFonts w:ascii="Arial" w:hAnsi="Arial" w:cs="Arial"/>
          <w:iCs w:val="0"/>
          <w:sz w:val="24"/>
          <w:szCs w:val="24"/>
        </w:rPr>
        <w:t xml:space="preserve">, 160 (4), 335–7. </w:t>
      </w:r>
    </w:p>
    <w:p w14:paraId="205165B6" w14:textId="77777777" w:rsidR="008C030E" w:rsidRPr="008B359A" w:rsidRDefault="008C030E" w:rsidP="008C030E">
      <w:pPr>
        <w:widowControl w:val="0"/>
        <w:autoSpaceDE w:val="0"/>
        <w:autoSpaceDN w:val="0"/>
        <w:adjustRightInd w:val="0"/>
        <w:spacing w:after="0" w:line="240" w:lineRule="auto"/>
        <w:ind w:left="360"/>
        <w:rPr>
          <w:rFonts w:ascii="Arial" w:hAnsi="Arial" w:cs="Arial"/>
          <w:iCs w:val="0"/>
          <w:sz w:val="24"/>
          <w:szCs w:val="24"/>
        </w:rPr>
      </w:pPr>
    </w:p>
    <w:p w14:paraId="32F8FD59" w14:textId="795FD115" w:rsidR="001666D4" w:rsidRPr="008B359A" w:rsidRDefault="009560EE" w:rsidP="008C030E">
      <w:pPr>
        <w:widowControl w:val="0"/>
        <w:autoSpaceDE w:val="0"/>
        <w:autoSpaceDN w:val="0"/>
        <w:adjustRightInd w:val="0"/>
        <w:spacing w:after="0" w:line="240" w:lineRule="auto"/>
        <w:ind w:left="360"/>
        <w:rPr>
          <w:rFonts w:ascii="Arial" w:hAnsi="Arial" w:cs="Arial"/>
          <w:iCs w:val="0"/>
          <w:sz w:val="24"/>
          <w:szCs w:val="24"/>
        </w:rPr>
      </w:pPr>
      <w:r>
        <w:rPr>
          <w:rFonts w:ascii="Arial" w:hAnsi="Arial" w:cs="Arial"/>
          <w:iCs w:val="0"/>
          <w:sz w:val="24"/>
          <w:szCs w:val="24"/>
        </w:rPr>
        <w:lastRenderedPageBreak/>
        <w:t>Vinten, C., 2016.</w:t>
      </w:r>
      <w:r w:rsidR="007D48CE" w:rsidRPr="008B359A">
        <w:rPr>
          <w:rFonts w:ascii="Arial" w:hAnsi="Arial" w:cs="Arial"/>
          <w:iCs w:val="0"/>
          <w:sz w:val="24"/>
          <w:szCs w:val="24"/>
        </w:rPr>
        <w:t xml:space="preserve"> The Development of Clinical Reasoning in Veterinary Students, Degree of Doctor of Philosophy, University of Nottingham, Nottingham </w:t>
      </w:r>
    </w:p>
    <w:p w14:paraId="151C12CE" w14:textId="77777777" w:rsidR="001666D4" w:rsidRPr="008B359A" w:rsidRDefault="001666D4" w:rsidP="008C030E">
      <w:pPr>
        <w:widowControl w:val="0"/>
        <w:autoSpaceDE w:val="0"/>
        <w:autoSpaceDN w:val="0"/>
        <w:adjustRightInd w:val="0"/>
        <w:spacing w:after="0" w:line="240" w:lineRule="auto"/>
        <w:ind w:left="360"/>
        <w:rPr>
          <w:rFonts w:ascii="Arial" w:hAnsi="Arial" w:cs="Arial"/>
          <w:iCs w:val="0"/>
          <w:sz w:val="24"/>
          <w:szCs w:val="24"/>
        </w:rPr>
      </w:pPr>
    </w:p>
    <w:p w14:paraId="15B94377" w14:textId="77777777" w:rsidR="008C030E" w:rsidRPr="008B359A" w:rsidRDefault="008C030E" w:rsidP="008C030E">
      <w:pPr>
        <w:widowControl w:val="0"/>
        <w:autoSpaceDE w:val="0"/>
        <w:autoSpaceDN w:val="0"/>
        <w:adjustRightInd w:val="0"/>
        <w:spacing w:after="0" w:line="240" w:lineRule="auto"/>
        <w:ind w:left="360"/>
        <w:rPr>
          <w:rFonts w:ascii="Arial" w:hAnsi="Arial" w:cs="Arial"/>
          <w:iCs w:val="0"/>
          <w:sz w:val="24"/>
          <w:szCs w:val="24"/>
        </w:rPr>
      </w:pPr>
      <w:r w:rsidRPr="008B359A">
        <w:rPr>
          <w:rFonts w:ascii="Arial" w:hAnsi="Arial" w:cs="Arial"/>
          <w:iCs w:val="0"/>
          <w:sz w:val="24"/>
          <w:szCs w:val="24"/>
        </w:rPr>
        <w:t xml:space="preserve">Wright, S., Wong, A., and </w:t>
      </w:r>
      <w:proofErr w:type="spellStart"/>
      <w:r w:rsidRPr="008B359A">
        <w:rPr>
          <w:rFonts w:ascii="Arial" w:hAnsi="Arial" w:cs="Arial"/>
          <w:iCs w:val="0"/>
          <w:sz w:val="24"/>
          <w:szCs w:val="24"/>
        </w:rPr>
        <w:t>Newill</w:t>
      </w:r>
      <w:proofErr w:type="spellEnd"/>
      <w:r w:rsidRPr="008B359A">
        <w:rPr>
          <w:rFonts w:ascii="Arial" w:hAnsi="Arial" w:cs="Arial"/>
          <w:iCs w:val="0"/>
          <w:sz w:val="24"/>
          <w:szCs w:val="24"/>
        </w:rPr>
        <w:t xml:space="preserve">, C., 1997. The impact of role models on medical students. </w:t>
      </w:r>
      <w:r w:rsidRPr="008B359A">
        <w:rPr>
          <w:rFonts w:ascii="Arial" w:hAnsi="Arial" w:cs="Arial"/>
          <w:i/>
          <w:sz w:val="24"/>
          <w:szCs w:val="24"/>
        </w:rPr>
        <w:t>Journal of General Internal Medicine</w:t>
      </w:r>
      <w:r w:rsidRPr="008B359A">
        <w:rPr>
          <w:rFonts w:ascii="Arial" w:hAnsi="Arial" w:cs="Arial"/>
          <w:iCs w:val="0"/>
          <w:sz w:val="24"/>
          <w:szCs w:val="24"/>
        </w:rPr>
        <w:t xml:space="preserve">, 12 (1), 53–56. </w:t>
      </w:r>
    </w:p>
    <w:p w14:paraId="652B20FC" w14:textId="77777777" w:rsidR="00D725B2" w:rsidRPr="008B359A" w:rsidRDefault="00D725B2">
      <w:pPr>
        <w:rPr>
          <w:rFonts w:ascii="Arial" w:hAnsi="Arial" w:cs="Arial"/>
          <w:b/>
        </w:rPr>
      </w:pPr>
    </w:p>
    <w:sectPr w:rsidR="00D725B2" w:rsidRPr="008B359A" w:rsidSect="00694148">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MS Mincho">
    <w:altName w:val="Yu Gothic UI"/>
    <w:panose1 w:val="02020609040205080304"/>
    <w:charset w:val="80"/>
    <w:family w:val="auto"/>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2790D"/>
    <w:multiLevelType w:val="hybridMultilevel"/>
    <w:tmpl w:val="ADA2C3CC"/>
    <w:lvl w:ilvl="0" w:tplc="8F58A94E">
      <w:start w:val="3"/>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80207D5"/>
    <w:multiLevelType w:val="hybridMultilevel"/>
    <w:tmpl w:val="70B42C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4487AA3"/>
    <w:multiLevelType w:val="hybridMultilevel"/>
    <w:tmpl w:val="46C42E2A"/>
    <w:lvl w:ilvl="0" w:tplc="6E6C944A">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0DF6C56"/>
    <w:multiLevelType w:val="hybridMultilevel"/>
    <w:tmpl w:val="605AB5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9911088"/>
    <w:multiLevelType w:val="hybridMultilevel"/>
    <w:tmpl w:val="B89254AA"/>
    <w:lvl w:ilvl="0" w:tplc="5ED0EE42">
      <w:start w:val="1"/>
      <w:numFmt w:val="bullet"/>
      <w:pStyle w:val="ListParagraph"/>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2868"/>
    <w:rsid w:val="0002191C"/>
    <w:rsid w:val="000274CB"/>
    <w:rsid w:val="00030EC7"/>
    <w:rsid w:val="00072246"/>
    <w:rsid w:val="00090E82"/>
    <w:rsid w:val="000A763E"/>
    <w:rsid w:val="000E570A"/>
    <w:rsid w:val="000F1F07"/>
    <w:rsid w:val="001666D4"/>
    <w:rsid w:val="00173FDD"/>
    <w:rsid w:val="001768DC"/>
    <w:rsid w:val="001D6B21"/>
    <w:rsid w:val="00214786"/>
    <w:rsid w:val="00223C12"/>
    <w:rsid w:val="0024100E"/>
    <w:rsid w:val="002928E1"/>
    <w:rsid w:val="002A5808"/>
    <w:rsid w:val="002A7833"/>
    <w:rsid w:val="00316EC9"/>
    <w:rsid w:val="00345640"/>
    <w:rsid w:val="00352968"/>
    <w:rsid w:val="003569E9"/>
    <w:rsid w:val="00381422"/>
    <w:rsid w:val="003A7DCC"/>
    <w:rsid w:val="003E6A06"/>
    <w:rsid w:val="00417D89"/>
    <w:rsid w:val="00466205"/>
    <w:rsid w:val="00471A1B"/>
    <w:rsid w:val="004D41DD"/>
    <w:rsid w:val="004E5A84"/>
    <w:rsid w:val="00526221"/>
    <w:rsid w:val="00542868"/>
    <w:rsid w:val="00553C0A"/>
    <w:rsid w:val="0062234C"/>
    <w:rsid w:val="00662D05"/>
    <w:rsid w:val="00685A17"/>
    <w:rsid w:val="00694148"/>
    <w:rsid w:val="006D27C0"/>
    <w:rsid w:val="006E2CC0"/>
    <w:rsid w:val="00727BB8"/>
    <w:rsid w:val="00750858"/>
    <w:rsid w:val="007D48CE"/>
    <w:rsid w:val="00832D6A"/>
    <w:rsid w:val="00873414"/>
    <w:rsid w:val="00880E77"/>
    <w:rsid w:val="008844C8"/>
    <w:rsid w:val="008B359A"/>
    <w:rsid w:val="008C030E"/>
    <w:rsid w:val="009551C5"/>
    <w:rsid w:val="009560EE"/>
    <w:rsid w:val="00956582"/>
    <w:rsid w:val="00986116"/>
    <w:rsid w:val="0099161D"/>
    <w:rsid w:val="00996AD3"/>
    <w:rsid w:val="009C4BD0"/>
    <w:rsid w:val="009D26A4"/>
    <w:rsid w:val="00A10AF4"/>
    <w:rsid w:val="00A76C24"/>
    <w:rsid w:val="00B57794"/>
    <w:rsid w:val="00B82A3F"/>
    <w:rsid w:val="00B94B5B"/>
    <w:rsid w:val="00C33B56"/>
    <w:rsid w:val="00CD7D2D"/>
    <w:rsid w:val="00D06B5D"/>
    <w:rsid w:val="00D560DA"/>
    <w:rsid w:val="00D60CFE"/>
    <w:rsid w:val="00D725B2"/>
    <w:rsid w:val="00D91155"/>
    <w:rsid w:val="00E622FF"/>
    <w:rsid w:val="00E86DC8"/>
    <w:rsid w:val="00E87592"/>
    <w:rsid w:val="00EA1B9F"/>
    <w:rsid w:val="00EA3B18"/>
    <w:rsid w:val="00EF11E1"/>
    <w:rsid w:val="00F061EC"/>
    <w:rsid w:val="00F27719"/>
    <w:rsid w:val="00F53DCE"/>
    <w:rsid w:val="00F57B10"/>
    <w:rsid w:val="00F919ED"/>
    <w:rsid w:val="00F91D7D"/>
    <w:rsid w:val="00F9761C"/>
    <w:rsid w:val="00FD6D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52723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25B2"/>
    <w:rPr>
      <w:iCs/>
      <w:sz w:val="21"/>
      <w:szCs w:val="21"/>
      <w:lang w:val="en-GB"/>
    </w:rPr>
  </w:style>
  <w:style w:type="paragraph" w:styleId="Heading1">
    <w:name w:val="heading 1"/>
    <w:basedOn w:val="Normal"/>
    <w:next w:val="Normal"/>
    <w:link w:val="Heading1Char"/>
    <w:uiPriority w:val="9"/>
    <w:qFormat/>
    <w:rsid w:val="00D725B2"/>
    <w:pPr>
      <w:pBdr>
        <w:top w:val="single" w:sz="12" w:space="1" w:color="ED7D31" w:themeColor="accent2"/>
        <w:left w:val="single" w:sz="12" w:space="4" w:color="ED7D31" w:themeColor="accent2"/>
        <w:bottom w:val="single" w:sz="12" w:space="1" w:color="ED7D31" w:themeColor="accent2"/>
        <w:right w:val="single" w:sz="12" w:space="4" w:color="ED7D31" w:themeColor="accent2"/>
      </w:pBdr>
      <w:shd w:val="clear" w:color="auto" w:fill="5B9BD5" w:themeFill="accent1"/>
      <w:spacing w:line="240" w:lineRule="auto"/>
      <w:outlineLvl w:val="0"/>
    </w:pPr>
    <w:rPr>
      <w:rFonts w:asciiTheme="majorHAnsi" w:hAnsiTheme="majorHAnsi"/>
      <w:color w:val="FFFFFF"/>
      <w:sz w:val="28"/>
      <w:szCs w:val="38"/>
    </w:rPr>
  </w:style>
  <w:style w:type="paragraph" w:styleId="Heading2">
    <w:name w:val="heading 2"/>
    <w:basedOn w:val="Normal"/>
    <w:next w:val="Normal"/>
    <w:link w:val="Heading2Char"/>
    <w:uiPriority w:val="9"/>
    <w:semiHidden/>
    <w:unhideWhenUsed/>
    <w:qFormat/>
    <w:rsid w:val="00D725B2"/>
    <w:pPr>
      <w:spacing w:before="200" w:after="60" w:line="240" w:lineRule="auto"/>
      <w:contextualSpacing/>
      <w:outlineLvl w:val="1"/>
    </w:pPr>
    <w:rPr>
      <w:rFonts w:asciiTheme="majorHAnsi" w:eastAsiaTheme="majorEastAsia" w:hAnsiTheme="majorHAnsi" w:cstheme="majorBidi"/>
      <w:b/>
      <w:bCs/>
      <w:outline/>
      <w:color w:val="5B9BD5" w:themeColor="accent1"/>
      <w:sz w:val="34"/>
      <w:szCs w:val="34"/>
      <w14:textOutline w14:w="9525" w14:cap="flat" w14:cmpd="sng" w14:algn="ctr">
        <w14:solidFill>
          <w14:schemeClr w14:val="accent1">
            <w14:lumMod w14:val="75000"/>
          </w14:schemeClr>
        </w14:solidFill>
        <w14:prstDash w14:val="solid"/>
        <w14:round/>
      </w14:textOutline>
      <w14:textFill>
        <w14:noFill/>
      </w14:textFill>
    </w:rPr>
  </w:style>
  <w:style w:type="paragraph" w:styleId="Heading3">
    <w:name w:val="heading 3"/>
    <w:basedOn w:val="Normal"/>
    <w:next w:val="Normal"/>
    <w:link w:val="Heading3Char"/>
    <w:uiPriority w:val="9"/>
    <w:semiHidden/>
    <w:unhideWhenUsed/>
    <w:qFormat/>
    <w:rsid w:val="00D725B2"/>
    <w:pPr>
      <w:spacing w:before="200" w:after="100" w:line="240" w:lineRule="auto"/>
      <w:contextualSpacing/>
      <w:outlineLvl w:val="2"/>
    </w:pPr>
    <w:rPr>
      <w:rFonts w:asciiTheme="majorHAnsi" w:eastAsiaTheme="majorEastAsia" w:hAnsiTheme="majorHAnsi" w:cstheme="majorBidi"/>
      <w:b/>
      <w:bCs/>
      <w:smallCaps/>
      <w:color w:val="C45911" w:themeColor="accent2" w:themeShade="BF"/>
      <w:spacing w:val="24"/>
      <w:sz w:val="28"/>
      <w:szCs w:val="22"/>
    </w:rPr>
  </w:style>
  <w:style w:type="paragraph" w:styleId="Heading4">
    <w:name w:val="heading 4"/>
    <w:basedOn w:val="Normal"/>
    <w:next w:val="Normal"/>
    <w:link w:val="Heading4Char"/>
    <w:uiPriority w:val="9"/>
    <w:semiHidden/>
    <w:unhideWhenUsed/>
    <w:qFormat/>
    <w:rsid w:val="00D725B2"/>
    <w:pPr>
      <w:spacing w:before="200" w:after="100" w:line="240" w:lineRule="auto"/>
      <w:contextualSpacing/>
      <w:outlineLvl w:val="3"/>
    </w:pPr>
    <w:rPr>
      <w:rFonts w:asciiTheme="majorHAnsi" w:eastAsiaTheme="majorEastAsia" w:hAnsiTheme="majorHAnsi" w:cstheme="majorBidi"/>
      <w:b/>
      <w:bCs/>
      <w:color w:val="2E74B5" w:themeColor="accent1" w:themeShade="BF"/>
      <w:sz w:val="24"/>
      <w:szCs w:val="22"/>
    </w:rPr>
  </w:style>
  <w:style w:type="paragraph" w:styleId="Heading5">
    <w:name w:val="heading 5"/>
    <w:basedOn w:val="Normal"/>
    <w:next w:val="Normal"/>
    <w:link w:val="Heading5Char"/>
    <w:uiPriority w:val="9"/>
    <w:semiHidden/>
    <w:unhideWhenUsed/>
    <w:qFormat/>
    <w:rsid w:val="00D725B2"/>
    <w:pPr>
      <w:spacing w:before="200" w:after="100" w:line="240" w:lineRule="auto"/>
      <w:contextualSpacing/>
      <w:outlineLvl w:val="4"/>
    </w:pPr>
    <w:rPr>
      <w:rFonts w:asciiTheme="majorHAnsi" w:eastAsiaTheme="majorEastAsia" w:hAnsiTheme="majorHAnsi" w:cstheme="majorBidi"/>
      <w:bCs/>
      <w:caps/>
      <w:color w:val="C45911" w:themeColor="accent2" w:themeShade="BF"/>
      <w:sz w:val="22"/>
      <w:szCs w:val="22"/>
    </w:rPr>
  </w:style>
  <w:style w:type="paragraph" w:styleId="Heading6">
    <w:name w:val="heading 6"/>
    <w:basedOn w:val="Normal"/>
    <w:next w:val="Normal"/>
    <w:link w:val="Heading6Char"/>
    <w:uiPriority w:val="9"/>
    <w:semiHidden/>
    <w:unhideWhenUsed/>
    <w:qFormat/>
    <w:rsid w:val="00D725B2"/>
    <w:pPr>
      <w:spacing w:before="200" w:after="100" w:line="240" w:lineRule="auto"/>
      <w:contextualSpacing/>
      <w:outlineLvl w:val="5"/>
    </w:pPr>
    <w:rPr>
      <w:rFonts w:asciiTheme="majorHAnsi" w:eastAsiaTheme="majorEastAsia" w:hAnsiTheme="majorHAnsi" w:cstheme="majorBidi"/>
      <w:color w:val="2E74B5" w:themeColor="accent1" w:themeShade="BF"/>
      <w:sz w:val="22"/>
      <w:szCs w:val="22"/>
    </w:rPr>
  </w:style>
  <w:style w:type="paragraph" w:styleId="Heading7">
    <w:name w:val="heading 7"/>
    <w:basedOn w:val="Normal"/>
    <w:next w:val="Normal"/>
    <w:link w:val="Heading7Char"/>
    <w:uiPriority w:val="9"/>
    <w:semiHidden/>
    <w:unhideWhenUsed/>
    <w:qFormat/>
    <w:rsid w:val="00D725B2"/>
    <w:pPr>
      <w:spacing w:before="200" w:after="100" w:line="240" w:lineRule="auto"/>
      <w:contextualSpacing/>
      <w:outlineLvl w:val="6"/>
    </w:pPr>
    <w:rPr>
      <w:rFonts w:asciiTheme="majorHAnsi" w:eastAsiaTheme="majorEastAsia" w:hAnsiTheme="majorHAnsi" w:cstheme="majorBidi"/>
      <w:color w:val="C45911" w:themeColor="accent2" w:themeShade="BF"/>
      <w:sz w:val="22"/>
      <w:szCs w:val="22"/>
    </w:rPr>
  </w:style>
  <w:style w:type="paragraph" w:styleId="Heading8">
    <w:name w:val="heading 8"/>
    <w:basedOn w:val="Normal"/>
    <w:next w:val="Normal"/>
    <w:link w:val="Heading8Char"/>
    <w:uiPriority w:val="9"/>
    <w:semiHidden/>
    <w:unhideWhenUsed/>
    <w:qFormat/>
    <w:rsid w:val="00D725B2"/>
    <w:pPr>
      <w:spacing w:before="200" w:after="100" w:line="240" w:lineRule="auto"/>
      <w:contextualSpacing/>
      <w:outlineLvl w:val="7"/>
    </w:pPr>
    <w:rPr>
      <w:rFonts w:asciiTheme="majorHAnsi" w:eastAsiaTheme="majorEastAsia" w:hAnsiTheme="majorHAnsi" w:cstheme="majorBidi"/>
      <w:color w:val="5B9BD5" w:themeColor="accent1"/>
      <w:sz w:val="22"/>
      <w:szCs w:val="22"/>
    </w:rPr>
  </w:style>
  <w:style w:type="paragraph" w:styleId="Heading9">
    <w:name w:val="heading 9"/>
    <w:basedOn w:val="Normal"/>
    <w:next w:val="Normal"/>
    <w:link w:val="Heading9Char"/>
    <w:uiPriority w:val="9"/>
    <w:semiHidden/>
    <w:unhideWhenUsed/>
    <w:qFormat/>
    <w:rsid w:val="00D725B2"/>
    <w:pPr>
      <w:spacing w:before="200" w:after="100" w:line="240" w:lineRule="auto"/>
      <w:contextualSpacing/>
      <w:outlineLvl w:val="8"/>
    </w:pPr>
    <w:rPr>
      <w:rFonts w:asciiTheme="majorHAnsi" w:eastAsiaTheme="majorEastAsia" w:hAnsiTheme="majorHAnsi" w:cstheme="majorBidi"/>
      <w:smallCaps/>
      <w:color w:val="ED7D31" w:themeColor="accent2"/>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25B2"/>
    <w:pPr>
      <w:numPr>
        <w:numId w:val="4"/>
      </w:numPr>
      <w:contextualSpacing/>
    </w:pPr>
    <w:rPr>
      <w:sz w:val="22"/>
    </w:rPr>
  </w:style>
  <w:style w:type="paragraph" w:styleId="NoSpacing">
    <w:name w:val="No Spacing"/>
    <w:basedOn w:val="Normal"/>
    <w:link w:val="NoSpacingChar"/>
    <w:uiPriority w:val="1"/>
    <w:qFormat/>
    <w:rsid w:val="00D725B2"/>
    <w:pPr>
      <w:spacing w:after="0" w:line="240" w:lineRule="auto"/>
    </w:pPr>
  </w:style>
  <w:style w:type="table" w:styleId="PlainTable1">
    <w:name w:val="Plain Table 1"/>
    <w:basedOn w:val="TableNormal"/>
    <w:uiPriority w:val="41"/>
    <w:rsid w:val="001768DC"/>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ListTable3">
    <w:name w:val="List Table 3"/>
    <w:basedOn w:val="TableNormal"/>
    <w:uiPriority w:val="48"/>
    <w:rsid w:val="00685A17"/>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4">
    <w:name w:val="List Table 4"/>
    <w:basedOn w:val="TableNormal"/>
    <w:uiPriority w:val="49"/>
    <w:rsid w:val="00214786"/>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3">
    <w:name w:val="List Table 4 Accent 3"/>
    <w:basedOn w:val="TableNormal"/>
    <w:uiPriority w:val="49"/>
    <w:rsid w:val="00214786"/>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2-Accent3">
    <w:name w:val="Grid Table 2 Accent 3"/>
    <w:basedOn w:val="TableNormal"/>
    <w:uiPriority w:val="47"/>
    <w:rsid w:val="00214786"/>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eGrid">
    <w:name w:val="Table Grid"/>
    <w:basedOn w:val="TableNormal"/>
    <w:uiPriority w:val="39"/>
    <w:rsid w:val="00996A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D725B2"/>
    <w:rPr>
      <w:rFonts w:asciiTheme="majorHAnsi" w:hAnsiTheme="majorHAnsi"/>
      <w:iCs/>
      <w:color w:val="FFFFFF"/>
      <w:sz w:val="28"/>
      <w:szCs w:val="38"/>
      <w:shd w:val="clear" w:color="auto" w:fill="5B9BD5" w:themeFill="accent1"/>
    </w:rPr>
  </w:style>
  <w:style w:type="character" w:customStyle="1" w:styleId="Heading2Char">
    <w:name w:val="Heading 2 Char"/>
    <w:basedOn w:val="DefaultParagraphFont"/>
    <w:link w:val="Heading2"/>
    <w:uiPriority w:val="9"/>
    <w:semiHidden/>
    <w:rsid w:val="00D725B2"/>
    <w:rPr>
      <w:rFonts w:asciiTheme="majorHAnsi" w:eastAsiaTheme="majorEastAsia" w:hAnsiTheme="majorHAnsi" w:cstheme="majorBidi"/>
      <w:b/>
      <w:bCs/>
      <w:iCs/>
      <w:outline/>
      <w:color w:val="5B9BD5" w:themeColor="accent1"/>
      <w:sz w:val="34"/>
      <w:szCs w:val="34"/>
      <w14:textOutline w14:w="9525" w14:cap="flat" w14:cmpd="sng" w14:algn="ctr">
        <w14:solidFill>
          <w14:schemeClr w14:val="accent1">
            <w14:lumMod w14:val="75000"/>
          </w14:schemeClr>
        </w14:solidFill>
        <w14:prstDash w14:val="solid"/>
        <w14:round/>
      </w14:textOutline>
      <w14:textFill>
        <w14:noFill/>
      </w14:textFill>
    </w:rPr>
  </w:style>
  <w:style w:type="character" w:customStyle="1" w:styleId="Heading3Char">
    <w:name w:val="Heading 3 Char"/>
    <w:basedOn w:val="DefaultParagraphFont"/>
    <w:link w:val="Heading3"/>
    <w:uiPriority w:val="9"/>
    <w:semiHidden/>
    <w:rsid w:val="00D725B2"/>
    <w:rPr>
      <w:rFonts w:asciiTheme="majorHAnsi" w:eastAsiaTheme="majorEastAsia" w:hAnsiTheme="majorHAnsi" w:cstheme="majorBidi"/>
      <w:b/>
      <w:bCs/>
      <w:iCs/>
      <w:smallCaps/>
      <w:color w:val="C45911" w:themeColor="accent2" w:themeShade="BF"/>
      <w:spacing w:val="24"/>
      <w:sz w:val="28"/>
    </w:rPr>
  </w:style>
  <w:style w:type="character" w:customStyle="1" w:styleId="Heading4Char">
    <w:name w:val="Heading 4 Char"/>
    <w:basedOn w:val="DefaultParagraphFont"/>
    <w:link w:val="Heading4"/>
    <w:uiPriority w:val="9"/>
    <w:semiHidden/>
    <w:rsid w:val="00D725B2"/>
    <w:rPr>
      <w:rFonts w:asciiTheme="majorHAnsi" w:eastAsiaTheme="majorEastAsia" w:hAnsiTheme="majorHAnsi" w:cstheme="majorBidi"/>
      <w:b/>
      <w:bCs/>
      <w:iCs/>
      <w:color w:val="2E74B5" w:themeColor="accent1" w:themeShade="BF"/>
      <w:sz w:val="24"/>
    </w:rPr>
  </w:style>
  <w:style w:type="character" w:customStyle="1" w:styleId="Heading5Char">
    <w:name w:val="Heading 5 Char"/>
    <w:basedOn w:val="DefaultParagraphFont"/>
    <w:link w:val="Heading5"/>
    <w:uiPriority w:val="9"/>
    <w:semiHidden/>
    <w:rsid w:val="00D725B2"/>
    <w:rPr>
      <w:rFonts w:asciiTheme="majorHAnsi" w:eastAsiaTheme="majorEastAsia" w:hAnsiTheme="majorHAnsi" w:cstheme="majorBidi"/>
      <w:bCs/>
      <w:iCs/>
      <w:caps/>
      <w:color w:val="C45911" w:themeColor="accent2" w:themeShade="BF"/>
    </w:rPr>
  </w:style>
  <w:style w:type="character" w:customStyle="1" w:styleId="Heading6Char">
    <w:name w:val="Heading 6 Char"/>
    <w:basedOn w:val="DefaultParagraphFont"/>
    <w:link w:val="Heading6"/>
    <w:uiPriority w:val="9"/>
    <w:semiHidden/>
    <w:rsid w:val="00D725B2"/>
    <w:rPr>
      <w:rFonts w:asciiTheme="majorHAnsi" w:eastAsiaTheme="majorEastAsia" w:hAnsiTheme="majorHAnsi" w:cstheme="majorBidi"/>
      <w:iCs/>
      <w:color w:val="2E74B5" w:themeColor="accent1" w:themeShade="BF"/>
    </w:rPr>
  </w:style>
  <w:style w:type="character" w:customStyle="1" w:styleId="Heading7Char">
    <w:name w:val="Heading 7 Char"/>
    <w:basedOn w:val="DefaultParagraphFont"/>
    <w:link w:val="Heading7"/>
    <w:uiPriority w:val="9"/>
    <w:semiHidden/>
    <w:rsid w:val="00D725B2"/>
    <w:rPr>
      <w:rFonts w:asciiTheme="majorHAnsi" w:eastAsiaTheme="majorEastAsia" w:hAnsiTheme="majorHAnsi" w:cstheme="majorBidi"/>
      <w:iCs/>
      <w:color w:val="C45911" w:themeColor="accent2" w:themeShade="BF"/>
    </w:rPr>
  </w:style>
  <w:style w:type="character" w:customStyle="1" w:styleId="Heading8Char">
    <w:name w:val="Heading 8 Char"/>
    <w:basedOn w:val="DefaultParagraphFont"/>
    <w:link w:val="Heading8"/>
    <w:uiPriority w:val="9"/>
    <w:semiHidden/>
    <w:rsid w:val="00D725B2"/>
    <w:rPr>
      <w:rFonts w:asciiTheme="majorHAnsi" w:eastAsiaTheme="majorEastAsia" w:hAnsiTheme="majorHAnsi" w:cstheme="majorBidi"/>
      <w:iCs/>
      <w:color w:val="5B9BD5" w:themeColor="accent1"/>
    </w:rPr>
  </w:style>
  <w:style w:type="character" w:customStyle="1" w:styleId="Heading9Char">
    <w:name w:val="Heading 9 Char"/>
    <w:basedOn w:val="DefaultParagraphFont"/>
    <w:link w:val="Heading9"/>
    <w:uiPriority w:val="9"/>
    <w:semiHidden/>
    <w:rsid w:val="00D725B2"/>
    <w:rPr>
      <w:rFonts w:asciiTheme="majorHAnsi" w:eastAsiaTheme="majorEastAsia" w:hAnsiTheme="majorHAnsi" w:cstheme="majorBidi"/>
      <w:iCs/>
      <w:smallCaps/>
      <w:color w:val="ED7D31" w:themeColor="accent2"/>
      <w:sz w:val="20"/>
      <w:szCs w:val="21"/>
    </w:rPr>
  </w:style>
  <w:style w:type="paragraph" w:styleId="Caption">
    <w:name w:val="caption"/>
    <w:basedOn w:val="Normal"/>
    <w:next w:val="Normal"/>
    <w:uiPriority w:val="35"/>
    <w:semiHidden/>
    <w:unhideWhenUsed/>
    <w:qFormat/>
    <w:rsid w:val="00D725B2"/>
    <w:rPr>
      <w:b/>
      <w:bCs/>
      <w:color w:val="C45911" w:themeColor="accent2" w:themeShade="BF"/>
      <w:sz w:val="18"/>
      <w:szCs w:val="18"/>
    </w:rPr>
  </w:style>
  <w:style w:type="paragraph" w:styleId="Title">
    <w:name w:val="Title"/>
    <w:basedOn w:val="Normal"/>
    <w:next w:val="Normal"/>
    <w:link w:val="TitleChar"/>
    <w:uiPriority w:val="10"/>
    <w:qFormat/>
    <w:rsid w:val="00D725B2"/>
    <w:pPr>
      <w:shd w:val="clear" w:color="auto" w:fill="FFFFFF" w:themeFill="background1"/>
      <w:spacing w:after="120" w:line="240" w:lineRule="auto"/>
    </w:pPr>
    <w:rPr>
      <w:rFonts w:asciiTheme="majorHAnsi" w:eastAsiaTheme="majorEastAsia" w:hAnsiTheme="majorHAnsi" w:cstheme="majorBidi"/>
      <w:b/>
      <w:color w:val="FFFFFF" w:themeColor="background1"/>
      <w:spacing w:val="10"/>
      <w:sz w:val="72"/>
      <w:szCs w:val="64"/>
      <w14:textOutline w14:w="13335" w14:cap="flat" w14:cmpd="sng" w14:algn="ctr">
        <w14:solidFill>
          <w14:schemeClr w14:val="accent1">
            <w14:lumMod w14:val="50000"/>
          </w14:schemeClr>
        </w14:solidFill>
        <w14:prstDash w14:val="solid"/>
        <w14:round/>
      </w14:textOutline>
    </w:rPr>
  </w:style>
  <w:style w:type="character" w:customStyle="1" w:styleId="TitleChar">
    <w:name w:val="Title Char"/>
    <w:basedOn w:val="DefaultParagraphFont"/>
    <w:link w:val="Title"/>
    <w:uiPriority w:val="10"/>
    <w:rsid w:val="00D725B2"/>
    <w:rPr>
      <w:rFonts w:asciiTheme="majorHAnsi" w:eastAsiaTheme="majorEastAsia" w:hAnsiTheme="majorHAnsi" w:cstheme="majorBidi"/>
      <w:b/>
      <w:iCs/>
      <w:color w:val="FFFFFF" w:themeColor="background1"/>
      <w:spacing w:val="10"/>
      <w:sz w:val="72"/>
      <w:szCs w:val="64"/>
      <w:shd w:val="clear" w:color="auto" w:fill="FFFFFF" w:themeFill="background1"/>
      <w14:textOutline w14:w="13335" w14:cap="flat" w14:cmpd="sng" w14:algn="ctr">
        <w14:solidFill>
          <w14:schemeClr w14:val="accent1">
            <w14:lumMod w14:val="50000"/>
          </w14:schemeClr>
        </w14:solidFill>
        <w14:prstDash w14:val="solid"/>
        <w14:round/>
      </w14:textOutline>
    </w:rPr>
  </w:style>
  <w:style w:type="paragraph" w:styleId="Subtitle">
    <w:name w:val="Subtitle"/>
    <w:basedOn w:val="Normal"/>
    <w:next w:val="Normal"/>
    <w:link w:val="SubtitleChar"/>
    <w:uiPriority w:val="11"/>
    <w:qFormat/>
    <w:rsid w:val="00D725B2"/>
    <w:pPr>
      <w:spacing w:before="200" w:after="360" w:line="240" w:lineRule="auto"/>
    </w:pPr>
    <w:rPr>
      <w:rFonts w:asciiTheme="majorHAnsi" w:eastAsiaTheme="majorEastAsia" w:hAnsiTheme="majorHAnsi" w:cstheme="majorBidi"/>
      <w:color w:val="44546A" w:themeColor="text2"/>
      <w:spacing w:val="20"/>
      <w:sz w:val="24"/>
      <w:szCs w:val="24"/>
    </w:rPr>
  </w:style>
  <w:style w:type="character" w:customStyle="1" w:styleId="SubtitleChar">
    <w:name w:val="Subtitle Char"/>
    <w:basedOn w:val="DefaultParagraphFont"/>
    <w:link w:val="Subtitle"/>
    <w:uiPriority w:val="11"/>
    <w:rsid w:val="00D725B2"/>
    <w:rPr>
      <w:rFonts w:asciiTheme="majorHAnsi" w:eastAsiaTheme="majorEastAsia" w:hAnsiTheme="majorHAnsi" w:cstheme="majorBidi"/>
      <w:iCs/>
      <w:color w:val="44546A" w:themeColor="text2"/>
      <w:spacing w:val="20"/>
      <w:sz w:val="24"/>
      <w:szCs w:val="24"/>
    </w:rPr>
  </w:style>
  <w:style w:type="character" w:styleId="Strong">
    <w:name w:val="Strong"/>
    <w:uiPriority w:val="22"/>
    <w:qFormat/>
    <w:rsid w:val="00D725B2"/>
    <w:rPr>
      <w:b/>
      <w:bCs/>
      <w:spacing w:val="0"/>
    </w:rPr>
  </w:style>
  <w:style w:type="character" w:styleId="Emphasis">
    <w:name w:val="Emphasis"/>
    <w:uiPriority w:val="20"/>
    <w:qFormat/>
    <w:rsid w:val="00D725B2"/>
    <w:rPr>
      <w:rFonts w:eastAsiaTheme="majorEastAsia" w:cstheme="majorBidi"/>
      <w:b/>
      <w:bCs/>
      <w:color w:val="C45911" w:themeColor="accent2" w:themeShade="BF"/>
      <w:bdr w:val="single" w:sz="18" w:space="0" w:color="E7E6E6" w:themeColor="background2"/>
      <w:shd w:val="clear" w:color="auto" w:fill="E7E6E6" w:themeFill="background2"/>
    </w:rPr>
  </w:style>
  <w:style w:type="paragraph" w:styleId="Quote">
    <w:name w:val="Quote"/>
    <w:basedOn w:val="Normal"/>
    <w:next w:val="Normal"/>
    <w:link w:val="QuoteChar"/>
    <w:uiPriority w:val="29"/>
    <w:qFormat/>
    <w:rsid w:val="00D725B2"/>
    <w:rPr>
      <w:b/>
      <w:i/>
      <w:color w:val="ED7D31" w:themeColor="accent2"/>
      <w:sz w:val="24"/>
    </w:rPr>
  </w:style>
  <w:style w:type="character" w:customStyle="1" w:styleId="QuoteChar">
    <w:name w:val="Quote Char"/>
    <w:basedOn w:val="DefaultParagraphFont"/>
    <w:link w:val="Quote"/>
    <w:uiPriority w:val="29"/>
    <w:rsid w:val="00D725B2"/>
    <w:rPr>
      <w:b/>
      <w:i/>
      <w:iCs/>
      <w:color w:val="ED7D31" w:themeColor="accent2"/>
      <w:sz w:val="24"/>
      <w:szCs w:val="21"/>
    </w:rPr>
  </w:style>
  <w:style w:type="paragraph" w:styleId="IntenseQuote">
    <w:name w:val="Intense Quote"/>
    <w:basedOn w:val="Normal"/>
    <w:next w:val="Normal"/>
    <w:link w:val="IntenseQuoteChar"/>
    <w:uiPriority w:val="30"/>
    <w:qFormat/>
    <w:rsid w:val="00D725B2"/>
    <w:pPr>
      <w:pBdr>
        <w:top w:val="dotted" w:sz="8" w:space="10" w:color="ED7D31" w:themeColor="accent2"/>
        <w:bottom w:val="dotted" w:sz="8" w:space="10" w:color="ED7D31" w:themeColor="accent2"/>
      </w:pBdr>
      <w:spacing w:line="300" w:lineRule="auto"/>
      <w:ind w:left="2160" w:right="2160"/>
      <w:jc w:val="center"/>
    </w:pPr>
    <w:rPr>
      <w:rFonts w:asciiTheme="majorHAnsi" w:eastAsiaTheme="majorEastAsia" w:hAnsiTheme="majorHAnsi" w:cstheme="majorBidi"/>
      <w:b/>
      <w:bCs/>
      <w:i/>
      <w:color w:val="ED7D31" w:themeColor="accent2"/>
      <w:sz w:val="20"/>
      <w:szCs w:val="20"/>
    </w:rPr>
  </w:style>
  <w:style w:type="character" w:customStyle="1" w:styleId="IntenseQuoteChar">
    <w:name w:val="Intense Quote Char"/>
    <w:basedOn w:val="DefaultParagraphFont"/>
    <w:link w:val="IntenseQuote"/>
    <w:uiPriority w:val="30"/>
    <w:rsid w:val="00D725B2"/>
    <w:rPr>
      <w:rFonts w:asciiTheme="majorHAnsi" w:eastAsiaTheme="majorEastAsia" w:hAnsiTheme="majorHAnsi" w:cstheme="majorBidi"/>
      <w:b/>
      <w:bCs/>
      <w:i/>
      <w:iCs/>
      <w:color w:val="ED7D31" w:themeColor="accent2"/>
      <w:sz w:val="20"/>
      <w:szCs w:val="20"/>
    </w:rPr>
  </w:style>
  <w:style w:type="character" w:styleId="SubtleEmphasis">
    <w:name w:val="Subtle Emphasis"/>
    <w:uiPriority w:val="19"/>
    <w:qFormat/>
    <w:rsid w:val="00D725B2"/>
    <w:rPr>
      <w:rFonts w:asciiTheme="majorHAnsi" w:eastAsiaTheme="majorEastAsia" w:hAnsiTheme="majorHAnsi" w:cstheme="majorBidi"/>
      <w:b/>
      <w:i/>
      <w:color w:val="5B9BD5" w:themeColor="accent1"/>
    </w:rPr>
  </w:style>
  <w:style w:type="character" w:styleId="IntenseEmphasis">
    <w:name w:val="Intense Emphasis"/>
    <w:uiPriority w:val="21"/>
    <w:qFormat/>
    <w:rsid w:val="00D725B2"/>
    <w:rPr>
      <w:rFonts w:asciiTheme="majorHAnsi" w:eastAsiaTheme="majorEastAsia" w:hAnsiTheme="majorHAnsi" w:cstheme="majorBidi"/>
      <w:b/>
      <w:bCs/>
      <w:i/>
      <w:iCs/>
      <w:dstrike w:val="0"/>
      <w:color w:val="FFFFFF" w:themeColor="background1"/>
      <w:bdr w:val="single" w:sz="18" w:space="0" w:color="ED7D31" w:themeColor="accent2"/>
      <w:shd w:val="clear" w:color="auto" w:fill="ED7D31" w:themeFill="accent2"/>
      <w:vertAlign w:val="baseline"/>
    </w:rPr>
  </w:style>
  <w:style w:type="character" w:styleId="SubtleReference">
    <w:name w:val="Subtle Reference"/>
    <w:uiPriority w:val="31"/>
    <w:qFormat/>
    <w:rsid w:val="00D725B2"/>
    <w:rPr>
      <w:i/>
      <w:iCs/>
      <w:smallCaps/>
      <w:color w:val="ED7D31" w:themeColor="accent2"/>
      <w:u w:color="ED7D31" w:themeColor="accent2"/>
    </w:rPr>
  </w:style>
  <w:style w:type="character" w:styleId="IntenseReference">
    <w:name w:val="Intense Reference"/>
    <w:uiPriority w:val="32"/>
    <w:qFormat/>
    <w:rsid w:val="00D725B2"/>
    <w:rPr>
      <w:b/>
      <w:bCs/>
      <w:i/>
      <w:iCs/>
      <w:smallCaps/>
      <w:color w:val="ED7D31" w:themeColor="accent2"/>
      <w:u w:color="ED7D31" w:themeColor="accent2"/>
    </w:rPr>
  </w:style>
  <w:style w:type="character" w:styleId="BookTitle">
    <w:name w:val="Book Title"/>
    <w:uiPriority w:val="33"/>
    <w:qFormat/>
    <w:rsid w:val="00D725B2"/>
    <w:rPr>
      <w:rFonts w:asciiTheme="majorHAnsi" w:eastAsiaTheme="majorEastAsia" w:hAnsiTheme="majorHAnsi" w:cstheme="majorBidi"/>
      <w:b/>
      <w:bCs/>
      <w:smallCaps/>
      <w:color w:val="ED7D31" w:themeColor="accent2"/>
      <w:u w:val="single"/>
    </w:rPr>
  </w:style>
  <w:style w:type="paragraph" w:styleId="TOCHeading">
    <w:name w:val="TOC Heading"/>
    <w:basedOn w:val="Heading1"/>
    <w:next w:val="Normal"/>
    <w:uiPriority w:val="39"/>
    <w:semiHidden/>
    <w:unhideWhenUsed/>
    <w:qFormat/>
    <w:rsid w:val="00D725B2"/>
    <w:pPr>
      <w:outlineLvl w:val="9"/>
    </w:pPr>
  </w:style>
  <w:style w:type="paragraph" w:customStyle="1" w:styleId="PersonalName">
    <w:name w:val="Personal Name"/>
    <w:basedOn w:val="Title"/>
    <w:rsid w:val="00D725B2"/>
    <w:rPr>
      <w:b w:val="0"/>
      <w:caps/>
      <w:color w:val="000000"/>
      <w:sz w:val="28"/>
      <w:szCs w:val="28"/>
    </w:rPr>
  </w:style>
  <w:style w:type="character" w:customStyle="1" w:styleId="NoSpacingChar">
    <w:name w:val="No Spacing Char"/>
    <w:basedOn w:val="DefaultParagraphFont"/>
    <w:link w:val="NoSpacing"/>
    <w:uiPriority w:val="1"/>
    <w:rsid w:val="00D725B2"/>
    <w:rPr>
      <w:iC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ambria-Calibri">
      <a:majorFont>
        <a:latin typeface="Cambria" panose="02040503050406030204"/>
        <a:ea typeface=""/>
        <a:cs typeface=""/>
        <a:font script="Jpan" typeface="ＭＳ Ｐゴシック"/>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2271</Words>
  <Characters>12947</Characters>
  <Application>Microsoft Office Word</Application>
  <DocSecurity>4</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Royal Veterinary College</Company>
  <LinksUpToDate>false</LinksUpToDate>
  <CharactersWithSpaces>15188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Kumarvel, Anantha</dc:creator>
  <cp:keywords/>
  <dc:description/>
  <cp:lastModifiedBy>Vinten, Claire</cp:lastModifiedBy>
  <cp:revision>2</cp:revision>
  <dcterms:created xsi:type="dcterms:W3CDTF">2018-12-18T11:35:00Z</dcterms:created>
  <dcterms:modified xsi:type="dcterms:W3CDTF">2018-12-18T11:35:00Z</dcterms:modified>
</cp:coreProperties>
</file>