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AE6" w:rsidRPr="00DC4327" w:rsidRDefault="00633AE6" w:rsidP="00633AE6">
      <w:pPr>
        <w:pBdr>
          <w:top w:val="single" w:sz="4" w:space="1" w:color="auto"/>
          <w:bottom w:val="single" w:sz="4" w:space="1" w:color="auto"/>
        </w:pBdr>
        <w:overflowPunct/>
        <w:autoSpaceDE/>
        <w:autoSpaceDN/>
        <w:adjustRightInd/>
        <w:spacing w:after="200" w:line="276" w:lineRule="auto"/>
        <w:jc w:val="center"/>
        <w:textAlignment w:val="auto"/>
        <w:rPr>
          <w:rFonts w:ascii="Times New Roman" w:hAnsi="Times New Roman"/>
          <w:b/>
          <w:caps/>
          <w:color w:val="000000"/>
          <w:sz w:val="22"/>
          <w:szCs w:val="22"/>
          <w:lang w:val="en-GB" w:eastAsia="en-US"/>
        </w:rPr>
      </w:pPr>
      <w:r>
        <w:rPr>
          <w:rFonts w:ascii="Times New Roman" w:hAnsi="Times New Roman"/>
          <w:b/>
          <w:caps/>
          <w:color w:val="000000"/>
          <w:sz w:val="22"/>
          <w:szCs w:val="22"/>
          <w:lang w:val="en-GB" w:eastAsia="en-US"/>
        </w:rPr>
        <w:t>PREVELANCE OF FOXP3</w:t>
      </w:r>
      <w:r>
        <w:rPr>
          <w:rFonts w:ascii="Times New Roman" w:hAnsi="Times New Roman"/>
          <w:b/>
          <w:caps/>
          <w:color w:val="000000"/>
          <w:sz w:val="22"/>
          <w:szCs w:val="22"/>
          <w:vertAlign w:val="superscript"/>
          <w:lang w:val="en-GB" w:eastAsia="en-US"/>
        </w:rPr>
        <w:t xml:space="preserve">+ </w:t>
      </w:r>
      <w:r>
        <w:rPr>
          <w:rFonts w:ascii="Times New Roman" w:hAnsi="Times New Roman"/>
          <w:b/>
          <w:caps/>
          <w:color w:val="000000"/>
          <w:sz w:val="22"/>
          <w:szCs w:val="22"/>
          <w:lang w:val="en-GB" w:eastAsia="en-US"/>
        </w:rPr>
        <w:t>CELLS IN CANINE TUMOURS AND LYMPH NODES POSITIVELY CORRELATES WITH GLUCOSE TRANSPORTER 1 EXPRESSION</w:t>
      </w:r>
    </w:p>
    <w:p w:rsidR="00633AE6" w:rsidRPr="00CB3B37" w:rsidRDefault="00633AE6" w:rsidP="00633AE6">
      <w:pPr>
        <w:pBdr>
          <w:top w:val="single" w:sz="4" w:space="1" w:color="auto"/>
          <w:bottom w:val="single" w:sz="4" w:space="1" w:color="auto"/>
        </w:pBdr>
        <w:spacing w:after="200" w:line="276" w:lineRule="auto"/>
        <w:jc w:val="center"/>
        <w:rPr>
          <w:rFonts w:ascii="Times New Roman" w:hAnsi="Times New Roman"/>
          <w:b/>
          <w:color w:val="000000"/>
          <w:vertAlign w:val="superscript"/>
          <w:lang w:val="en-GB"/>
        </w:rPr>
      </w:pPr>
      <w:r w:rsidRPr="00DC4327">
        <w:rPr>
          <w:rFonts w:ascii="Times New Roman" w:hAnsi="Times New Roman"/>
          <w:b/>
          <w:color w:val="000000"/>
          <w:sz w:val="22"/>
          <w:szCs w:val="22"/>
          <w:u w:val="single"/>
          <w:lang w:val="en-GB" w:eastAsia="en-GB"/>
        </w:rPr>
        <w:t>L. Fortuna</w:t>
      </w:r>
      <w:r w:rsidRPr="00CB3B37">
        <w:rPr>
          <w:rFonts w:ascii="Times New Roman" w:hAnsi="Times New Roman"/>
          <w:b/>
          <w:color w:val="000000"/>
          <w:sz w:val="22"/>
          <w:szCs w:val="22"/>
          <w:vertAlign w:val="superscript"/>
          <w:lang w:val="en-GB"/>
        </w:rPr>
        <w:t>*</w:t>
      </w:r>
      <w:r>
        <w:rPr>
          <w:rFonts w:ascii="Times New Roman" w:hAnsi="Times New Roman"/>
          <w:b/>
          <w:color w:val="000000"/>
          <w:sz w:val="22"/>
          <w:szCs w:val="22"/>
          <w:lang w:val="en-GB" w:eastAsia="en-GB"/>
        </w:rPr>
        <w:t xml:space="preserve">, J. Relf*, Y.M. Chang*, A. </w:t>
      </w:r>
      <w:proofErr w:type="spellStart"/>
      <w:r>
        <w:rPr>
          <w:rFonts w:ascii="Times New Roman" w:hAnsi="Times New Roman"/>
          <w:b/>
          <w:color w:val="000000"/>
          <w:sz w:val="22"/>
          <w:szCs w:val="22"/>
          <w:lang w:val="en-GB" w:eastAsia="en-GB"/>
        </w:rPr>
        <w:t>Hibbert</w:t>
      </w:r>
      <w:proofErr w:type="spellEnd"/>
      <w:r>
        <w:rPr>
          <w:rFonts w:ascii="Times New Roman" w:hAnsi="Times New Roman"/>
          <w:b/>
          <w:color w:val="000000"/>
          <w:sz w:val="22"/>
          <w:szCs w:val="22"/>
          <w:lang w:val="en-GB" w:eastAsia="en-GB"/>
        </w:rPr>
        <w:t>, H.M. Martineau* and O.A. Garden*</w:t>
      </w:r>
    </w:p>
    <w:p w:rsidR="00633AE6" w:rsidRPr="00CB3B37" w:rsidRDefault="00633AE6" w:rsidP="00633AE6">
      <w:pPr>
        <w:pBdr>
          <w:top w:val="single" w:sz="4" w:space="1" w:color="auto"/>
          <w:bottom w:val="single" w:sz="4" w:space="1" w:color="auto"/>
        </w:pBdr>
        <w:spacing w:after="200" w:line="276" w:lineRule="auto"/>
        <w:jc w:val="center"/>
        <w:rPr>
          <w:rFonts w:ascii="Times New Roman" w:hAnsi="Times New Roman"/>
          <w:b/>
          <w:color w:val="000000"/>
          <w:sz w:val="22"/>
          <w:szCs w:val="22"/>
          <w:vertAlign w:val="superscript"/>
          <w:lang w:val="en-GB"/>
        </w:rPr>
      </w:pPr>
      <w:r w:rsidRPr="00CB3B37">
        <w:rPr>
          <w:rFonts w:ascii="Times New Roman" w:hAnsi="Times New Roman"/>
          <w:b/>
          <w:color w:val="000000"/>
          <w:sz w:val="22"/>
          <w:szCs w:val="22"/>
          <w:vertAlign w:val="superscript"/>
          <w:lang w:val="en-GB"/>
        </w:rPr>
        <w:t>*</w:t>
      </w:r>
      <w:r>
        <w:rPr>
          <w:rFonts w:ascii="Times New Roman" w:hAnsi="Times New Roman"/>
          <w:i/>
          <w:iCs/>
          <w:color w:val="000000"/>
          <w:sz w:val="22"/>
          <w:szCs w:val="22"/>
        </w:rPr>
        <w:t>Department of Clinical Science and Services, Royal Veterinary College, England</w:t>
      </w:r>
    </w:p>
    <w:p w:rsidR="00633AE6" w:rsidRPr="00CB3B37" w:rsidRDefault="00633AE6" w:rsidP="00633AE6">
      <w:pPr>
        <w:pBdr>
          <w:top w:val="single" w:sz="4" w:space="1" w:color="auto"/>
          <w:bottom w:val="single" w:sz="4" w:space="1" w:color="auto"/>
        </w:pBdr>
        <w:spacing w:after="200" w:line="276" w:lineRule="auto"/>
        <w:rPr>
          <w:rFonts w:ascii="Times New Roman" w:eastAsia="Calibri" w:hAnsi="Times New Roman"/>
          <w:color w:val="000000"/>
          <w:sz w:val="22"/>
          <w:szCs w:val="22"/>
        </w:rPr>
      </w:pPr>
      <w:r w:rsidRPr="00CB3B37">
        <w:rPr>
          <w:rFonts w:ascii="Times New Roman" w:eastAsia="Calibri" w:hAnsi="Times New Roman"/>
          <w:b/>
          <w:color w:val="000000"/>
          <w:sz w:val="22"/>
          <w:szCs w:val="22"/>
        </w:rPr>
        <w:t>Introduction:</w:t>
      </w:r>
      <w:r>
        <w:rPr>
          <w:rFonts w:ascii="Times New Roman" w:eastAsia="Calibri" w:hAnsi="Times New Roman"/>
          <w:color w:val="000000"/>
          <w:sz w:val="22"/>
          <w:szCs w:val="22"/>
        </w:rPr>
        <w:t xml:space="preserve"> </w:t>
      </w:r>
      <w:r w:rsidRPr="00856CF0">
        <w:rPr>
          <w:rFonts w:ascii="Times New Roman" w:eastAsia="Calibri" w:hAnsi="Times New Roman"/>
          <w:color w:val="000000"/>
          <w:sz w:val="22"/>
          <w:szCs w:val="22"/>
        </w:rPr>
        <w:t xml:space="preserve">The presence of hypoxia and regulatory T cells </w:t>
      </w:r>
      <w:r>
        <w:rPr>
          <w:rFonts w:ascii="Times New Roman" w:eastAsia="Calibri" w:hAnsi="Times New Roman"/>
          <w:color w:val="000000"/>
          <w:sz w:val="22"/>
          <w:szCs w:val="22"/>
        </w:rPr>
        <w:t>(</w:t>
      </w:r>
      <w:proofErr w:type="spellStart"/>
      <w:r>
        <w:rPr>
          <w:rFonts w:ascii="Times New Roman" w:eastAsia="Calibri" w:hAnsi="Times New Roman"/>
          <w:color w:val="000000"/>
          <w:sz w:val="22"/>
          <w:szCs w:val="22"/>
        </w:rPr>
        <w:t>Tregs</w:t>
      </w:r>
      <w:proofErr w:type="spellEnd"/>
      <w:r>
        <w:rPr>
          <w:rFonts w:ascii="Times New Roman" w:eastAsia="Calibri" w:hAnsi="Times New Roman"/>
          <w:color w:val="000000"/>
          <w:sz w:val="22"/>
          <w:szCs w:val="22"/>
        </w:rPr>
        <w:t xml:space="preserve">) </w:t>
      </w:r>
      <w:r w:rsidRPr="00856CF0">
        <w:rPr>
          <w:rFonts w:ascii="Times New Roman" w:eastAsia="Calibri" w:hAnsi="Times New Roman"/>
          <w:color w:val="000000"/>
          <w:sz w:val="22"/>
          <w:szCs w:val="22"/>
        </w:rPr>
        <w:t xml:space="preserve">in </w:t>
      </w:r>
      <w:proofErr w:type="spellStart"/>
      <w:r w:rsidRPr="00856CF0">
        <w:rPr>
          <w:rFonts w:ascii="Times New Roman" w:eastAsia="Calibri" w:hAnsi="Times New Roman"/>
          <w:color w:val="000000"/>
          <w:sz w:val="22"/>
          <w:szCs w:val="22"/>
        </w:rPr>
        <w:t>tumours</w:t>
      </w:r>
      <w:proofErr w:type="spellEnd"/>
      <w:r w:rsidRPr="00856CF0">
        <w:rPr>
          <w:rFonts w:ascii="Times New Roman" w:eastAsia="Calibri" w:hAnsi="Times New Roman"/>
          <w:color w:val="000000"/>
          <w:sz w:val="22"/>
          <w:szCs w:val="22"/>
        </w:rPr>
        <w:t xml:space="preserve"> are both known to be negative prognostic factors in cancer,</w:t>
      </w:r>
      <w:r>
        <w:rPr>
          <w:rFonts w:ascii="Times New Roman" w:eastAsia="Calibri" w:hAnsi="Times New Roman"/>
          <w:color w:val="000000"/>
          <w:sz w:val="22"/>
          <w:szCs w:val="22"/>
        </w:rPr>
        <w:t xml:space="preserve"> resulting in increased malignancy, immune evasion and treatment resistance. Studies have shown an association between the two factors in cancers of humans and mice, but no previous research has shown such a correlation in canine cancers.</w:t>
      </w:r>
    </w:p>
    <w:p w:rsidR="00633AE6" w:rsidRPr="00CB3B37" w:rsidRDefault="00633AE6" w:rsidP="00633AE6">
      <w:pPr>
        <w:pBdr>
          <w:top w:val="single" w:sz="4" w:space="1" w:color="auto"/>
          <w:bottom w:val="single" w:sz="4" w:space="1" w:color="auto"/>
        </w:pBdr>
        <w:spacing w:after="200" w:line="276" w:lineRule="auto"/>
        <w:rPr>
          <w:rFonts w:ascii="Times New Roman" w:eastAsia="Calibri" w:hAnsi="Times New Roman"/>
          <w:color w:val="000000"/>
          <w:sz w:val="22"/>
          <w:szCs w:val="22"/>
        </w:rPr>
      </w:pPr>
      <w:r w:rsidRPr="00CB3B37">
        <w:rPr>
          <w:rFonts w:ascii="Times New Roman" w:eastAsia="Calibri" w:hAnsi="Times New Roman"/>
          <w:b/>
          <w:color w:val="000000"/>
          <w:sz w:val="22"/>
          <w:szCs w:val="22"/>
        </w:rPr>
        <w:t>Materials and Methods:</w:t>
      </w:r>
      <w:r>
        <w:rPr>
          <w:rFonts w:ascii="Times New Roman" w:eastAsia="Calibri" w:hAnsi="Times New Roman"/>
          <w:color w:val="000000"/>
          <w:sz w:val="22"/>
          <w:szCs w:val="22"/>
        </w:rPr>
        <w:t xml:space="preserve"> </w:t>
      </w:r>
      <w:r w:rsidRPr="00856CF0">
        <w:rPr>
          <w:rFonts w:ascii="Times New Roman" w:eastAsia="Calibri" w:hAnsi="Times New Roman"/>
          <w:color w:val="000000"/>
          <w:sz w:val="22"/>
          <w:szCs w:val="22"/>
        </w:rPr>
        <w:t xml:space="preserve">Samples of 57 canine </w:t>
      </w:r>
      <w:proofErr w:type="spellStart"/>
      <w:r w:rsidRPr="00856CF0">
        <w:rPr>
          <w:rFonts w:ascii="Times New Roman" w:eastAsia="Calibri" w:hAnsi="Times New Roman"/>
          <w:color w:val="000000"/>
          <w:sz w:val="22"/>
          <w:szCs w:val="22"/>
        </w:rPr>
        <w:t>tumours</w:t>
      </w:r>
      <w:proofErr w:type="spellEnd"/>
      <w:r w:rsidRPr="00856CF0">
        <w:rPr>
          <w:rFonts w:ascii="Times New Roman" w:eastAsia="Calibri" w:hAnsi="Times New Roman"/>
          <w:color w:val="000000"/>
          <w:sz w:val="22"/>
          <w:szCs w:val="22"/>
        </w:rPr>
        <w:t xml:space="preserve"> and 29 canine lymph nodes of various </w:t>
      </w:r>
      <w:proofErr w:type="spellStart"/>
      <w:r w:rsidRPr="00856CF0">
        <w:rPr>
          <w:rFonts w:ascii="Times New Roman" w:eastAsia="Calibri" w:hAnsi="Times New Roman"/>
          <w:color w:val="000000"/>
          <w:sz w:val="22"/>
          <w:szCs w:val="22"/>
        </w:rPr>
        <w:t>categorisations</w:t>
      </w:r>
      <w:proofErr w:type="spellEnd"/>
      <w:r w:rsidRPr="00856CF0">
        <w:rPr>
          <w:rFonts w:ascii="Times New Roman" w:eastAsia="Calibri" w:hAnsi="Times New Roman"/>
          <w:color w:val="000000"/>
          <w:sz w:val="22"/>
          <w:szCs w:val="22"/>
        </w:rPr>
        <w:t xml:space="preserve"> were obtained, and sequential sections were labelled by immunohistochemistry for glucose transporter 1 </w:t>
      </w:r>
      <w:r>
        <w:rPr>
          <w:rFonts w:ascii="Times New Roman" w:eastAsia="Calibri" w:hAnsi="Times New Roman"/>
          <w:color w:val="000000"/>
          <w:sz w:val="22"/>
          <w:szCs w:val="22"/>
        </w:rPr>
        <w:t xml:space="preserve">(Glut1) </w:t>
      </w:r>
      <w:r w:rsidRPr="00856CF0">
        <w:rPr>
          <w:rFonts w:ascii="Times New Roman" w:eastAsia="Calibri" w:hAnsi="Times New Roman"/>
          <w:color w:val="000000"/>
          <w:sz w:val="22"/>
          <w:szCs w:val="22"/>
        </w:rPr>
        <w:t xml:space="preserve">and FoxP3 as markers of hypoxia and </w:t>
      </w:r>
      <w:proofErr w:type="spellStart"/>
      <w:r>
        <w:rPr>
          <w:rFonts w:ascii="Times New Roman" w:eastAsia="Calibri" w:hAnsi="Times New Roman"/>
          <w:color w:val="000000"/>
          <w:sz w:val="22"/>
          <w:szCs w:val="22"/>
        </w:rPr>
        <w:t>Tregs</w:t>
      </w:r>
      <w:proofErr w:type="spellEnd"/>
      <w:r w:rsidRPr="00856CF0">
        <w:rPr>
          <w:rFonts w:ascii="Times New Roman" w:eastAsia="Calibri" w:hAnsi="Times New Roman"/>
          <w:color w:val="000000"/>
          <w:sz w:val="22"/>
          <w:szCs w:val="22"/>
        </w:rPr>
        <w:t xml:space="preserve"> respectively. Up to 21 regions of interest were selected on each sample in a representative pattern and given a semi-quantitative score based on its </w:t>
      </w:r>
      <w:r>
        <w:rPr>
          <w:rFonts w:ascii="Times New Roman" w:eastAsia="Calibri" w:hAnsi="Times New Roman"/>
          <w:color w:val="000000"/>
          <w:sz w:val="22"/>
          <w:szCs w:val="22"/>
        </w:rPr>
        <w:t xml:space="preserve">Glut1 </w:t>
      </w:r>
      <w:r w:rsidRPr="00856CF0">
        <w:rPr>
          <w:rFonts w:ascii="Times New Roman" w:eastAsia="Calibri" w:hAnsi="Times New Roman"/>
          <w:color w:val="000000"/>
          <w:sz w:val="22"/>
          <w:szCs w:val="22"/>
        </w:rPr>
        <w:t xml:space="preserve">labelling, and the number of FoxP3+ cells at each ROI was counted. A </w:t>
      </w:r>
      <w:proofErr w:type="spellStart"/>
      <w:r w:rsidRPr="00856CF0">
        <w:rPr>
          <w:rFonts w:ascii="Times New Roman" w:eastAsia="Calibri" w:hAnsi="Times New Roman"/>
          <w:color w:val="000000"/>
          <w:sz w:val="22"/>
          <w:szCs w:val="22"/>
        </w:rPr>
        <w:t>generalised</w:t>
      </w:r>
      <w:proofErr w:type="spellEnd"/>
      <w:r w:rsidRPr="00856CF0">
        <w:rPr>
          <w:rFonts w:ascii="Times New Roman" w:eastAsia="Calibri" w:hAnsi="Times New Roman"/>
          <w:color w:val="000000"/>
          <w:sz w:val="22"/>
          <w:szCs w:val="22"/>
        </w:rPr>
        <w:t xml:space="preserve"> estimating equation with negative binomial log link function was used to determine an association between </w:t>
      </w:r>
      <w:r>
        <w:rPr>
          <w:rFonts w:ascii="Times New Roman" w:eastAsia="Calibri" w:hAnsi="Times New Roman"/>
          <w:color w:val="000000"/>
          <w:sz w:val="22"/>
          <w:szCs w:val="22"/>
        </w:rPr>
        <w:t>Glut1</w:t>
      </w:r>
      <w:r w:rsidRPr="00856CF0">
        <w:rPr>
          <w:rFonts w:ascii="Times New Roman" w:eastAsia="Calibri" w:hAnsi="Times New Roman"/>
          <w:color w:val="000000"/>
          <w:sz w:val="22"/>
          <w:szCs w:val="22"/>
        </w:rPr>
        <w:t xml:space="preserve"> expression and FoxP3+ cell count.</w:t>
      </w:r>
    </w:p>
    <w:p w:rsidR="00633AE6" w:rsidRPr="00CB3B37" w:rsidRDefault="00633AE6" w:rsidP="00633AE6">
      <w:pPr>
        <w:pBdr>
          <w:top w:val="single" w:sz="4" w:space="1" w:color="auto"/>
          <w:bottom w:val="single" w:sz="4" w:space="1" w:color="auto"/>
        </w:pBdr>
        <w:spacing w:after="200" w:line="276" w:lineRule="auto"/>
        <w:rPr>
          <w:rFonts w:ascii="Times New Roman" w:eastAsia="Calibri" w:hAnsi="Times New Roman"/>
          <w:color w:val="000000"/>
          <w:sz w:val="22"/>
          <w:szCs w:val="22"/>
        </w:rPr>
      </w:pPr>
      <w:r w:rsidRPr="00CB3B37">
        <w:rPr>
          <w:rFonts w:ascii="Times New Roman" w:eastAsia="Calibri" w:hAnsi="Times New Roman"/>
          <w:b/>
          <w:color w:val="000000"/>
          <w:sz w:val="22"/>
          <w:szCs w:val="22"/>
        </w:rPr>
        <w:t>Results:</w:t>
      </w:r>
      <w:r>
        <w:rPr>
          <w:rFonts w:ascii="Times New Roman" w:eastAsia="Calibri" w:hAnsi="Times New Roman"/>
          <w:color w:val="000000"/>
          <w:sz w:val="22"/>
          <w:szCs w:val="22"/>
        </w:rPr>
        <w:t xml:space="preserve"> </w:t>
      </w:r>
      <w:r w:rsidRPr="00856CF0">
        <w:rPr>
          <w:rFonts w:ascii="Times New Roman" w:eastAsia="Calibri" w:hAnsi="Times New Roman"/>
          <w:color w:val="000000"/>
          <w:sz w:val="22"/>
          <w:szCs w:val="22"/>
        </w:rPr>
        <w:t xml:space="preserve">Higher Glut1 </w:t>
      </w:r>
      <w:proofErr w:type="spellStart"/>
      <w:r w:rsidRPr="00856CF0">
        <w:rPr>
          <w:rFonts w:ascii="Times New Roman" w:eastAsia="Calibri" w:hAnsi="Times New Roman"/>
          <w:color w:val="000000"/>
          <w:sz w:val="22"/>
          <w:szCs w:val="22"/>
        </w:rPr>
        <w:t>immunoreactivity</w:t>
      </w:r>
      <w:proofErr w:type="spellEnd"/>
      <w:r w:rsidRPr="00856CF0">
        <w:rPr>
          <w:rFonts w:ascii="Times New Roman" w:eastAsia="Calibri" w:hAnsi="Times New Roman"/>
          <w:color w:val="000000"/>
          <w:sz w:val="22"/>
          <w:szCs w:val="22"/>
        </w:rPr>
        <w:t xml:space="preserve"> was correlated with significantly highe</w:t>
      </w:r>
      <w:r>
        <w:rPr>
          <w:rFonts w:ascii="Times New Roman" w:eastAsia="Calibri" w:hAnsi="Times New Roman"/>
          <w:color w:val="000000"/>
          <w:sz w:val="22"/>
          <w:szCs w:val="22"/>
        </w:rPr>
        <w:t>r numbers of FoxP3+ cells in both the</w:t>
      </w:r>
      <w:r w:rsidRPr="00856CF0">
        <w:rPr>
          <w:rFonts w:ascii="Times New Roman" w:eastAsia="Calibri" w:hAnsi="Times New Roman"/>
          <w:color w:val="000000"/>
          <w:sz w:val="22"/>
          <w:szCs w:val="22"/>
        </w:rPr>
        <w:t xml:space="preserve"> total </w:t>
      </w:r>
      <w:proofErr w:type="spellStart"/>
      <w:r w:rsidRPr="00856CF0">
        <w:rPr>
          <w:rFonts w:ascii="Times New Roman" w:eastAsia="Calibri" w:hAnsi="Times New Roman"/>
          <w:color w:val="000000"/>
          <w:sz w:val="22"/>
          <w:szCs w:val="22"/>
        </w:rPr>
        <w:t>tumour</w:t>
      </w:r>
      <w:proofErr w:type="spellEnd"/>
      <w:r w:rsidRPr="00856CF0">
        <w:rPr>
          <w:rFonts w:ascii="Times New Roman" w:eastAsia="Calibri" w:hAnsi="Times New Roman"/>
          <w:color w:val="000000"/>
          <w:sz w:val="22"/>
          <w:szCs w:val="22"/>
        </w:rPr>
        <w:t xml:space="preserve"> and total lymph node sample pool</w:t>
      </w:r>
      <w:r>
        <w:rPr>
          <w:rFonts w:ascii="Times New Roman" w:eastAsia="Calibri" w:hAnsi="Times New Roman"/>
          <w:color w:val="000000"/>
          <w:sz w:val="22"/>
          <w:szCs w:val="22"/>
        </w:rPr>
        <w:t>s</w:t>
      </w:r>
      <w:r w:rsidRPr="00856CF0">
        <w:rPr>
          <w:rFonts w:ascii="Times New Roman" w:eastAsia="Calibri" w:hAnsi="Times New Roman"/>
          <w:color w:val="000000"/>
          <w:sz w:val="22"/>
          <w:szCs w:val="22"/>
        </w:rPr>
        <w:t xml:space="preserve">. Analysis on various sub-categories of </w:t>
      </w:r>
      <w:r>
        <w:rPr>
          <w:rFonts w:ascii="Times New Roman" w:eastAsia="Calibri" w:hAnsi="Times New Roman"/>
          <w:color w:val="000000"/>
          <w:sz w:val="22"/>
          <w:szCs w:val="22"/>
        </w:rPr>
        <w:t>these sample pools</w:t>
      </w:r>
      <w:r w:rsidRPr="00856CF0">
        <w:rPr>
          <w:rFonts w:ascii="Times New Roman" w:eastAsia="Calibri" w:hAnsi="Times New Roman"/>
          <w:color w:val="000000"/>
          <w:sz w:val="22"/>
          <w:szCs w:val="22"/>
        </w:rPr>
        <w:t xml:space="preserve"> showed this correlation was also present within samples </w:t>
      </w:r>
      <w:proofErr w:type="spellStart"/>
      <w:r w:rsidRPr="00856CF0">
        <w:rPr>
          <w:rFonts w:ascii="Times New Roman" w:eastAsia="Calibri" w:hAnsi="Times New Roman"/>
          <w:color w:val="000000"/>
          <w:sz w:val="22"/>
          <w:szCs w:val="22"/>
        </w:rPr>
        <w:t>characterised</w:t>
      </w:r>
      <w:proofErr w:type="spellEnd"/>
      <w:r w:rsidRPr="00856CF0">
        <w:rPr>
          <w:rFonts w:ascii="Times New Roman" w:eastAsia="Calibri" w:hAnsi="Times New Roman"/>
          <w:color w:val="000000"/>
          <w:sz w:val="22"/>
          <w:szCs w:val="22"/>
        </w:rPr>
        <w:t xml:space="preserve"> as malignant, round cell </w:t>
      </w:r>
      <w:proofErr w:type="spellStart"/>
      <w:r w:rsidRPr="00856CF0">
        <w:rPr>
          <w:rFonts w:ascii="Times New Roman" w:eastAsia="Calibri" w:hAnsi="Times New Roman"/>
          <w:color w:val="000000"/>
          <w:sz w:val="22"/>
          <w:szCs w:val="22"/>
        </w:rPr>
        <w:t>tumours</w:t>
      </w:r>
      <w:proofErr w:type="spellEnd"/>
      <w:r w:rsidRPr="00856CF0">
        <w:rPr>
          <w:rFonts w:ascii="Times New Roman" w:eastAsia="Calibri" w:hAnsi="Times New Roman"/>
          <w:color w:val="000000"/>
          <w:sz w:val="22"/>
          <w:szCs w:val="22"/>
        </w:rPr>
        <w:t xml:space="preserve">, mesenchymal </w:t>
      </w:r>
      <w:proofErr w:type="spellStart"/>
      <w:r w:rsidRPr="00856CF0">
        <w:rPr>
          <w:rFonts w:ascii="Times New Roman" w:eastAsia="Calibri" w:hAnsi="Times New Roman"/>
          <w:color w:val="000000"/>
          <w:sz w:val="22"/>
          <w:szCs w:val="22"/>
        </w:rPr>
        <w:t>tumours</w:t>
      </w:r>
      <w:proofErr w:type="spellEnd"/>
      <w:r w:rsidRPr="00856CF0">
        <w:rPr>
          <w:rFonts w:ascii="Times New Roman" w:eastAsia="Calibri" w:hAnsi="Times New Roman"/>
          <w:color w:val="000000"/>
          <w:sz w:val="22"/>
          <w:szCs w:val="22"/>
        </w:rPr>
        <w:t xml:space="preserve">, epithelial </w:t>
      </w:r>
      <w:proofErr w:type="spellStart"/>
      <w:r w:rsidRPr="00856CF0">
        <w:rPr>
          <w:rFonts w:ascii="Times New Roman" w:eastAsia="Calibri" w:hAnsi="Times New Roman"/>
          <w:color w:val="000000"/>
          <w:sz w:val="22"/>
          <w:szCs w:val="22"/>
        </w:rPr>
        <w:t>tumours</w:t>
      </w:r>
      <w:proofErr w:type="spellEnd"/>
      <w:r w:rsidRPr="00856CF0">
        <w:rPr>
          <w:rFonts w:ascii="Times New Roman" w:eastAsia="Calibri" w:hAnsi="Times New Roman"/>
          <w:color w:val="000000"/>
          <w:sz w:val="22"/>
          <w:szCs w:val="22"/>
        </w:rPr>
        <w:t>, lymphoma, metastatic lymph nodes and reactive lymph nodes.</w:t>
      </w:r>
    </w:p>
    <w:p w:rsidR="00633AE6" w:rsidRPr="00856CF0" w:rsidRDefault="00633AE6" w:rsidP="00633AE6">
      <w:pPr>
        <w:pBdr>
          <w:top w:val="single" w:sz="4" w:space="1" w:color="auto"/>
          <w:bottom w:val="single" w:sz="4" w:space="1" w:color="auto"/>
        </w:pBdr>
        <w:spacing w:after="200" w:line="276" w:lineRule="auto"/>
        <w:rPr>
          <w:rFonts w:ascii="Times New Roman" w:eastAsia="Calibri" w:hAnsi="Times New Roman"/>
          <w:color w:val="000000"/>
          <w:sz w:val="22"/>
          <w:szCs w:val="22"/>
        </w:rPr>
      </w:pPr>
      <w:r>
        <w:rPr>
          <w:rFonts w:ascii="Times New Roman" w:eastAsia="Calibri" w:hAnsi="Times New Roman"/>
          <w:b/>
          <w:color w:val="000000"/>
          <w:sz w:val="22"/>
          <w:szCs w:val="22"/>
        </w:rPr>
        <w:t>Conclusions</w:t>
      </w:r>
      <w:r w:rsidRPr="00CB3B37">
        <w:rPr>
          <w:rFonts w:ascii="Times New Roman" w:eastAsia="Calibri" w:hAnsi="Times New Roman"/>
          <w:b/>
          <w:color w:val="000000"/>
          <w:sz w:val="22"/>
          <w:szCs w:val="22"/>
        </w:rPr>
        <w:t>:</w:t>
      </w:r>
      <w:r>
        <w:rPr>
          <w:rFonts w:ascii="Times New Roman" w:eastAsia="Calibri" w:hAnsi="Times New Roman"/>
          <w:b/>
          <w:color w:val="000000"/>
          <w:sz w:val="22"/>
          <w:szCs w:val="22"/>
        </w:rPr>
        <w:t xml:space="preserve"> </w:t>
      </w:r>
      <w:r w:rsidRPr="00D53873">
        <w:rPr>
          <w:rFonts w:ascii="Times New Roman" w:eastAsia="Calibri" w:hAnsi="Times New Roman"/>
          <w:color w:val="000000"/>
          <w:sz w:val="22"/>
          <w:szCs w:val="22"/>
        </w:rPr>
        <w:t xml:space="preserve">These results indicate that Glut1 expression and FoxP3+ cells are associated in a variety of neoplasms in dogs, prompting us to speculate that hypoxia may drive </w:t>
      </w:r>
      <w:proofErr w:type="spellStart"/>
      <w:r w:rsidRPr="00D53873">
        <w:rPr>
          <w:rFonts w:ascii="Times New Roman" w:eastAsia="Calibri" w:hAnsi="Times New Roman"/>
          <w:color w:val="000000"/>
          <w:sz w:val="22"/>
          <w:szCs w:val="22"/>
        </w:rPr>
        <w:t>Treg</w:t>
      </w:r>
      <w:proofErr w:type="spellEnd"/>
      <w:r w:rsidRPr="00D53873">
        <w:rPr>
          <w:rFonts w:ascii="Times New Roman" w:eastAsia="Calibri" w:hAnsi="Times New Roman"/>
          <w:color w:val="000000"/>
          <w:sz w:val="22"/>
          <w:szCs w:val="22"/>
        </w:rPr>
        <w:t xml:space="preserve"> expansion, infiltration or induction in the </w:t>
      </w:r>
      <w:proofErr w:type="spellStart"/>
      <w:r w:rsidRPr="00D53873">
        <w:rPr>
          <w:rFonts w:ascii="Times New Roman" w:eastAsia="Calibri" w:hAnsi="Times New Roman"/>
          <w:color w:val="000000"/>
          <w:sz w:val="22"/>
          <w:szCs w:val="22"/>
        </w:rPr>
        <w:t>tumour</w:t>
      </w:r>
      <w:proofErr w:type="spellEnd"/>
      <w:r w:rsidRPr="00D53873">
        <w:rPr>
          <w:rFonts w:ascii="Times New Roman" w:eastAsia="Calibri" w:hAnsi="Times New Roman"/>
          <w:color w:val="000000"/>
          <w:sz w:val="22"/>
          <w:szCs w:val="22"/>
        </w:rPr>
        <w:t xml:space="preserve"> microenvironment.</w:t>
      </w:r>
    </w:p>
    <w:p w:rsidR="00633AE6" w:rsidRPr="00EA5986" w:rsidRDefault="00633AE6" w:rsidP="00633AE6">
      <w:pPr>
        <w:pBdr>
          <w:top w:val="single" w:sz="4" w:space="1" w:color="auto"/>
          <w:bottom w:val="single" w:sz="4" w:space="1" w:color="auto"/>
        </w:pBdr>
        <w:spacing w:line="276" w:lineRule="auto"/>
        <w:rPr>
          <w:rFonts w:ascii="Times New Roman" w:hAnsi="Times New Roman"/>
          <w:sz w:val="22"/>
        </w:rPr>
      </w:pPr>
    </w:p>
    <w:p w:rsidR="00E631F4" w:rsidRDefault="00633AE6">
      <w:bookmarkStart w:id="0" w:name="_GoBack"/>
      <w:bookmarkEnd w:id="0"/>
    </w:p>
    <w:sectPr w:rsidR="00E63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E6"/>
    <w:rsid w:val="001650C9"/>
    <w:rsid w:val="00633AE6"/>
    <w:rsid w:val="00862215"/>
    <w:rsid w:val="00C66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AF747-07D6-4BA6-B5C8-00CE3A08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AE6"/>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Rodman, Martha</dc:creator>
  <cp:keywords/>
  <dc:description/>
  <cp:lastModifiedBy>Rodman, Martha</cp:lastModifiedBy>
  <cp:revision>1</cp:revision>
  <dcterms:created xsi:type="dcterms:W3CDTF">2016-12-09T13:40:00Z</dcterms:created>
  <dcterms:modified xsi:type="dcterms:W3CDTF">2016-12-09T13:42:00Z</dcterms:modified>
</cp:coreProperties>
</file>